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</w:rPr>
        <w:drawing>
          <wp:inline distT="0" distB="0" distL="0" distR="0">
            <wp:extent cx="395605" cy="6013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60" r="-10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3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36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36"/>
        <w:widowControl/>
        <w:bidi w:val="0"/>
        <w:ind w:left="0" w:right="0" w:hanging="0"/>
        <w:jc w:val="both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28</w:t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.06.2021  №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443</w:t>
      </w:r>
    </w:p>
    <w:p>
      <w:pPr>
        <w:pStyle w:val="ConsPlusNormal"/>
        <w:bidi w:val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i/>
          <w:sz w:val="24"/>
          <w:szCs w:val="24"/>
        </w:rPr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</w:rPr>
        <w:t xml:space="preserve">Об утверждении плана мероприятий по составлению проекта </w:t>
      </w:r>
    </w:p>
    <w:p>
      <w:pPr>
        <w:pStyle w:val="ConsPlusNormal"/>
        <w:bidi w:val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</w:rPr>
        <w:t>бюджета Камышловского городского округа</w:t>
      </w:r>
    </w:p>
    <w:p>
      <w:pPr>
        <w:pStyle w:val="ConsPlusNormal"/>
        <w:bidi w:val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</w:rPr>
        <w:t xml:space="preserve"> 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</w:rPr>
        <w:t>на 2022  год и плановый период 2023 и 2024 годов</w:t>
      </w:r>
    </w:p>
    <w:p>
      <w:pPr>
        <w:pStyle w:val="Normal"/>
        <w:numPr>
          <w:ilvl w:val="0"/>
          <w:numId w:val="0"/>
        </w:numPr>
        <w:autoSpaceDE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autoSpaceDE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6 октября 2003 года N 131-ФЗ "Об общих принципах организации местного самоуправления в Российской Федерации", решением Думы Камышловского городского округа от 18 июня 2015 года N 491 «Об утверждении Положения о бюджетном процессе в Камышловском городском округе», администрация  Камышловского городского округа </w:t>
      </w:r>
    </w:p>
    <w:p>
      <w:pPr>
        <w:pStyle w:val="Normal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suppressAutoHyphens w:val="true"/>
        <w:autoSpaceDE w:val="false"/>
        <w:ind w:left="142" w:right="0" w:firstLine="558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Утвердить План мероприятий по составлению проекта бюджета Камышловского городского округа на 2022 год и плановый период 2023 и 2024 годов (прилагается).</w:t>
      </w:r>
    </w:p>
    <w:p>
      <w:pPr>
        <w:pStyle w:val="Normal"/>
        <w:suppressAutoHyphens w:val="true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suppressAutoHyphens w:val="true"/>
        <w:autoSpaceDE w:val="false"/>
        <w:ind w:left="0" w:right="0" w:firstLine="54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suppressAutoHyphens w:val="true"/>
        <w:autoSpaceDE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uppressAutoHyphens w:val="fals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И.о. главы администрации</w:t>
      </w:r>
    </w:p>
    <w:p>
      <w:pPr>
        <w:pStyle w:val="Normal"/>
        <w:widowControl/>
        <w:suppressAutoHyphens w:val="fals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Normal"/>
        <w:autoSpaceDE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numPr>
          <w:ilvl w:val="0"/>
          <w:numId w:val="0"/>
        </w:numPr>
        <w:autoSpaceDE w:val="false"/>
        <w:ind w:left="5102" w:right="0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5102" w:right="0" w:hanging="0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УТВЕРЖДЕН</w:t>
      </w:r>
    </w:p>
    <w:p>
      <w:pPr>
        <w:pStyle w:val="Normal"/>
        <w:autoSpaceDE w:val="false"/>
        <w:ind w:left="5102" w:right="0" w:hanging="0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постановлением администрации</w:t>
      </w:r>
    </w:p>
    <w:p>
      <w:pPr>
        <w:pStyle w:val="Normal"/>
        <w:autoSpaceDE w:val="false"/>
        <w:ind w:left="5102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</w:t>
      </w:r>
    </w:p>
    <w:p>
      <w:pPr>
        <w:pStyle w:val="Normal"/>
        <w:autoSpaceDE w:val="false"/>
        <w:ind w:left="5102" w:right="0" w:hanging="0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 xml:space="preserve">28.06.2021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N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443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    </w:t>
      </w:r>
    </w:p>
    <w:p>
      <w:pPr>
        <w:pStyle w:val="Normal"/>
        <w:autoSpaceDE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ПЛАН МЕРОПРИЯТИЙ ПО СОСТАВЛЕНИЮ ПРОЕКТА БЮДЖЕТА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КАМЫШЛОВСКОГО ГОРОДСКОГО ОКРУГА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на 2022 год и плановый период 2023 и 2024 годов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tbl>
      <w:tblPr>
        <w:tblW w:w="993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5553"/>
        <w:gridCol w:w="1620"/>
        <w:gridCol w:w="2190"/>
      </w:tblGrid>
      <w:tr>
        <w:trPr>
          <w:trHeight w:val="36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N </w:t>
              <w:br/>
              <w:t>п/п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Исполнитель</w:t>
            </w:r>
          </w:p>
        </w:tc>
      </w:tr>
    </w:tbl>
    <w:p>
      <w:pPr>
        <w:pStyle w:val="Normal"/>
        <w:spacing w:lineRule="exact" w:line="14"/>
        <w:rPr/>
      </w:pPr>
      <w:r>
        <w:rPr/>
      </w:r>
    </w:p>
    <w:tbl>
      <w:tblPr>
        <w:tblW w:w="993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5553"/>
        <w:gridCol w:w="1620"/>
        <w:gridCol w:w="2190"/>
      </w:tblGrid>
      <w:tr>
        <w:trPr>
          <w:tblHeader w:val="true"/>
          <w:trHeight w:val="65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</w:t>
            </w:r>
          </w:p>
        </w:tc>
      </w:tr>
      <w:tr>
        <w:trPr>
          <w:trHeight w:val="36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проекты муниципальных программ Камышловского городского округа, предлагаемые к финансированию, начиная с очередного финансового года или планового периода, в отдел экономики и финансовое управление для подготовки заключений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19 июля </w:t>
            </w:r>
          </w:p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Отраслевые (функциональные) отделы администрации Камышловского городского округа</w:t>
            </w:r>
          </w:p>
        </w:tc>
      </w:tr>
      <w:tr>
        <w:trPr>
          <w:trHeight w:val="36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 необходимости направить в Министерство экономики Свердловской области основные параметры прогноза социально-экономического развития Камышловского городского округа на 2022-2024 годы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19 июля 20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36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 необходимости разработать проект о внесении изменений в постановление об утверждении Порядка разработки и утверждения, период действия, а так же требования к составу и содержанию бюджетного прогноза Камышловского городского округа на долгосрочный 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19 июля </w:t>
            </w:r>
          </w:p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137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 необходимости разработать проект о внесении изменений в постановление об утверждении Порядка разработки прогноза социально-экономического развития Камышловского городского округа (в новой редакции)</w:t>
            </w:r>
          </w:p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19 июля 20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1484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При необходимости разработать проект о внесении изменений в постановление об утверждении Порядка разработки прогноза социально-экономического развития на долгосрочный период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19 июля 20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1 года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250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 w:val="false"/>
              <w:autoSpaceDE w:val="false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Организовать взаимодействие администрации Камышловского городского округа с Камышловским отделом федеральной службы государственной регистрации, кадастра и картографии, межрайонной ИФНС России № 19 по Свердловской области, по вопросу инвентаризации земельных участков и актуализации баз данных. Провести мероприятия по увеличению количества объектов вовлекаемых в налогооблагаемый оборот за счет уточнения сведений о границах населенного пункта, об адресе, категории, виде разрешенного использования земельных участков и передачи  откорректированной информации в территориальные подразделения органов кадастрового учета для последующего направления в налоговые органы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>20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6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250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Провести согласование с органами исполнительной власти  Свердловской области (профильными Министерствами) и представить в финансовое управление администрации Камышловского городского округа уточненные и согласованные с органами исполнительной власти  Свердловской области (профильными Министерствами):    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производственно-сетевые показатели муниципальных подведомственных учреждений и обоснование их количественного изменения в 2021 году;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исходные данные, используемые для расчета объемов дотаций и межбюджетных трансфертов из областного бюджета местным бюджетам на 2022 год и плановый период 2023 и 2024 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распорядители средств бюджета Камышловского городского округа</w:t>
            </w:r>
          </w:p>
        </w:tc>
      </w:tr>
      <w:tr>
        <w:trPr>
          <w:trHeight w:val="17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В случае увеличения сети муниципальных учреждений социальной сферы провести согласование  совместно с органами исполнительной власти  Свердловской области (профильными Министерствами)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распорядители средств бюджета Камышловского городского округа</w:t>
            </w:r>
          </w:p>
        </w:tc>
      </w:tr>
      <w:tr>
        <w:trPr>
          <w:trHeight w:val="17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сведения об общей площади жилых помещений аварийного жилищного фонда, требующего расселения, по состоянию на 31 декабря 2020 года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50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информацию по данным Территориального органа Федеральной службы государственной статистики по Свердловской области по состоянию:       </w:t>
              <w:br/>
              <w:t xml:space="preserve">- на 01.01.2021 года - о численности постоянного населения Камышловского городского округа;     </w:t>
              <w:br/>
              <w:t>- на 01.01.2020 год - показатели половозрастного состава постоянного населения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6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4461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  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администрации Камышловского городского округа сведения подтвержденные органами государственной статистики: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об общей площади жилых помещений в домах, находящейся в муниципальной собственности по состоянию на 01.01.2021 (в квадратных метрах);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о площади аварийного и ветхого жилищного фонда Камышловского городского округа по состоянию на 01.01.2021 (в квадратных метрах);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общая протяженности освещенных частей улиц, проездов, набережных Камышловского городского округа по состоянию на 01.01.2021 (в километрах);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об общей площади застроенных земель Камышловского городского округа по состоянию  на 01.01.2021 (в гектарах);</w:t>
            </w:r>
          </w:p>
          <w:p>
            <w:pPr>
              <w:pStyle w:val="ConsPlusCell"/>
              <w:widowControl/>
              <w:bidi w:val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- о площади водных объектов,  находящихся в собственности  Камышловского городского округа, в соответствии с документами территориального планировании и правоустанавливающими документами по состоянию на 01.01.2021  (в гектарах);                    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- о количестве  гидротехнических сооружений,  находящихся в собственности  Камышловского городского округа,  по состоянию на 01.01.2021  в соответствии с правоустанавливающими документами;                     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о протяженности автомобильных  дорог местного значения, включенных в реестр  муниципальной собственности Камышловского городского округа, по состоянию на 01.01.2021 по категориям автомобильных дорог (в километрах);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сведения о площадях лесных участков (городских лесов, лесов особо охраняемых природных территорий), расположенных в границах Камышловского городского округа,  по состоянию на 01.01.2021  (в гектарах);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протяженность автомобильных дорог местного значения в Камышловском городском округе, в отношении которых необходимо осуществить мероприятия по оформлению права собственности на автомобильные дороги местного значения;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- информация о расходах Камышловского городского округа на мероприятия в области обращения с твердыми коммунальными отходами, по созданию и содержанию мест (площадок) накопления твердых коммунальных отходов                        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33"/>
              <w:snapToGrid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</w:t>
            </w:r>
          </w:p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33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Комитет по управлению имуществом и земельным ресурсам 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>
        <w:trPr>
          <w:trHeight w:val="2251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сведения о численности граждан  Камышловского городского округа, состоящих на учете по состоянию на 01.01.2021 для улучшения   жилищных условий (без учета очередников, обеспечение которых является расходным обязательством Российской Федерации и Свердловской области)       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жилищно-коммунального и городского хозяйства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Главный специалист (по учету и распределению жилья)</w:t>
            </w:r>
          </w:p>
        </w:tc>
      </w:tr>
      <w:tr>
        <w:trPr>
          <w:trHeight w:val="96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информацию о количестве единиц хранения, относящихся  к муниципальному архивному фонду, по состоянию на 01.01.2021 года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02 августа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Организационный отдел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152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титульный список капитальных ремонтов, подлежащих исполнению за счет бюджета Камышловского городского округа в 2022 году                 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33"/>
              <w:spacing w:before="0" w:after="12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распорядители средств бюджета Камышловского городского округа</w:t>
            </w:r>
          </w:p>
        </w:tc>
      </w:tr>
      <w:tr>
        <w:trPr>
          <w:trHeight w:val="1616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 Камышловского городского округа проект решения Думы Камышловского городского округа "Об утверждении Программы приватизации муниципального имущества Камышловского городского округа на 2022 год"                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августа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33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Комитет по управлению имуществом и земельным ресурсам 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1368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прогноз поступлений администрируемых платежей в бюджет Камышловского городского округа по кодам доходов бюджетной классификации (с приложением расчетов, произведенных главными администраторами доходов местного бюджета в соответствии с утвержденными методиками прогнозирования поступлений доходов, и пояснительной записки)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02 августа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администраторы доходов бюджета Камышловского 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32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целях разработки проекта бюджета Камышловского городского округа на 2022 год и плановый период 2023 и 2024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годов представить в финансовое управление администрации Камышловского городского округа: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проект прогноза социально-экономического развития Камышловского городского округа на 2022 - 2024 годы, с пояснительной запиской;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сведения о предполагаемом объеме финансирования из бюджета Камышловского городского округа на реализацию муниципальных программ, объеме муниципальных бюджетных инвестиций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16 августа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6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291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расчет ожидаемых потерь бюджета Камышловского городского округа за 2021 год и оценку потерь бюджета Камышловского городского округа на 2022 год (с пояснительной запиской) от предоставления льгот по доходам, получаемым в виде арендной платы за земельные участки и по доходам, получаемым от сдачи в аренду муниципального имущества                   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16 августа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33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Комитет по управлению имуществом и земельным ресурсам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91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 необходимости представить предложения в отраслевые исполнительные органы государственной власти Свердловской области по внесению изменений в региональный перечень  (классификатор) государственных (муниципальных) услуг и работ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16 августа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Направить в Контрольный орган Камышловского городского округа проекты постановлений главы Камышловского городского округа об утверждении муниципальных программ, предлагаемые к финансированию, начиная с очередного финансового года или планового периода для проведения экспертизы в соответствии с бюджетным законодательством Российской Федерации.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23 августа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 получении запроса от Министерства экономики Свердловской области, направить в Министерство экономики Свердловской области основные параметры прогноза социально-экономического развития Камышловского городского округа на долгосрочный 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30 августа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6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Провести согласование с Министерством финансов Свердловской области расчетной базы по доходам и оценке расходных полномочий для составления проекта бюджета Камышловского городского округа  на 2022 год и плановый период 2023 и 2024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в срок, установленный Министерством финансов Свердловской    </w:t>
              <w:br/>
              <w:t xml:space="preserve">области  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Финансовое       </w:t>
              <w:br/>
              <w:t xml:space="preserve">управление       </w:t>
              <w:br/>
              <w:t xml:space="preserve">администрации    </w:t>
              <w:br/>
              <w:t xml:space="preserve">Камышловского       </w:t>
              <w:br/>
              <w:t>городского округа</w:t>
            </w:r>
          </w:p>
        </w:tc>
      </w:tr>
      <w:tr>
        <w:trPr>
          <w:trHeight w:val="168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Провести оценку эффективности предоставляемых налоговых льгот и ставок налогов, установленных решениями Думы Камышловского городского округа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13 сентября 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расчет ожидаемых потерь бюджета Камышловского городского округа за 2020 год и оценку потерь бюджета Камышловского городского округа на 2021 год (с пояснительной запиской) от предоставления налоговых льгот по земельному налогу и налогу на имущество физических лиц      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13 сентября 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Межрайонная инспекция ФНС России N 19 по Свердловской области          </w:t>
              <w:br/>
              <w:t xml:space="preserve">(по официальному </w:t>
              <w:br/>
              <w:t xml:space="preserve">запросу администрации Камышловского городского округа) 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Подготовить проекты постановлений главы Камышловского городского округа об утверждении муниципальных программ Камышловского городского округа, предлагаемые к финансированию, начиная с очередного финансового года или планового периода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20 сентября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Разработать проект постановления главы Камышловского городского округа по составу согласительной комиссии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01 октября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Финансовое       </w:t>
              <w:br/>
              <w:t xml:space="preserve">управление       </w:t>
              <w:br/>
              <w:t xml:space="preserve">администрации    </w:t>
              <w:br/>
              <w:t xml:space="preserve">Камышловского     </w:t>
              <w:br/>
              <w:t>городского округа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 необходимости внести изменения и представить в финансовое управление администрации Камышловского городского округа прогноз социально-экономического развития на долгосрочный период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04 октября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1765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администрации Камышловского городского округа:</w:t>
            </w:r>
          </w:p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информацию в соответствии с Порядком и Методикой планирования бюджетных ассигнований местного бюджета на очередной финансовый год и плановый период;</w:t>
            </w:r>
          </w:p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проекты бюджетных смет на 2022 год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04 октября 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распорядители средств бюджета Камышловского 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192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предложения о выделении бюджетных инвестиций на 2022 год из бюджета Камышловского городского округа в объекты капитального строительства муниципальной собственности городского округа,  не включенные в муниципальные программы, включая  приобретение муниципального  имущества в казну Камышловского городского округа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04 октября 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Главные          </w:t>
              <w:br/>
              <w:t xml:space="preserve">распорядители    </w:t>
              <w:br/>
              <w:t xml:space="preserve">средств бюджета  </w:t>
              <w:br/>
              <w:t xml:space="preserve">Камышловского       </w:t>
              <w:br/>
              <w:t>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33"/>
              <w:spacing w:before="0" w:after="12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Комитет по управлению имуществом и земельным ресурсам </w:t>
            </w:r>
          </w:p>
        </w:tc>
      </w:tr>
      <w:tr>
        <w:trPr>
          <w:trHeight w:val="192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администрации Камышловского городского округа информацию о планируемых объемах бюджетных ассигнований на исполнение публичных обязательств, подлежащих исполнению за счет средств бюджета Камышловского городского округа на 2022 год и плановый период 2023 и 2024 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04 октября 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Главные          </w:t>
              <w:br/>
              <w:t xml:space="preserve">распорядители    </w:t>
              <w:br/>
              <w:t xml:space="preserve">средств бюджета  </w:t>
              <w:br/>
              <w:t xml:space="preserve">Камышловского       </w:t>
              <w:br/>
              <w:t>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192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Предоставить в финансовое управление администрации Камышловского городского округа перечень субсидий юридическим лицам, не являющимся автономными и бюджетными учреждениями, с указанием цели предоставления, критериев отбора, подлежащих исполнению за счет бюджета Камышловского городского округа на 2022 год и плановый период 2023 и 2024 годов, в соответствии со ст.78 Бюджетного кодекса Росссийской Федерации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04 октября 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192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информацию для включения в реестр источников доходов в соответствии с Порядком формирования и ведения реестра источников доходов бюджета Камышловского городского округа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04 октября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администраторы доходов бюджета Камышловского 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92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администрации Камышловского городского округа предложения в проект основных направлений бюджетной и налоговой политики Камышловского городского округа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04 октября 2021года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Главные          </w:t>
              <w:br/>
              <w:t xml:space="preserve">распорядители    </w:t>
              <w:br/>
              <w:t xml:space="preserve">средств бюджета  </w:t>
              <w:br/>
              <w:t xml:space="preserve">Камышловского       </w:t>
              <w:br/>
              <w:t>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158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Провести согласование с главными распорядителями сумм бюджетных ассигнований на 2022 год и плановый период 2023 и 2024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18 октября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Финансовое       </w:t>
              <w:br/>
              <w:t xml:space="preserve">управление       </w:t>
              <w:br/>
              <w:t xml:space="preserve">администрации    </w:t>
              <w:br/>
              <w:t xml:space="preserve">Камышловского       </w:t>
              <w:br/>
              <w:t>городского округа</w:t>
            </w:r>
          </w:p>
        </w:tc>
      </w:tr>
      <w:tr>
        <w:trPr>
          <w:trHeight w:val="1598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Финансовому управлению администрации Камышловского городского округа направить главным распорядителям бюджетных средств плановые объемы бюджетных ассигнований на 2022 год и плановый период 2023 и 2024 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18 октября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При необходимости разработать проекты нормативных правовых актов о внесении изменений и (или) дополнений в решения Думы Камышловского городского округа о налогах и сборах          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18 октября 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 финансовое управление администрации Камышловского городского округа  коэффициенты ожидаемого роста (снижения) поступлений по доходным источникам  бюджета Камышловского городского округа  на 2022 год и плановый период 2023 и 2024 годов, связанных с прогнозной оценкой роста (снижения) макроэкономических показателей (НДФЛ, земельный налог, налог на имущество физических лиц, единый налог на вмененный доход для отдельных видов деятельности)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18 октября       </w:t>
              <w:br/>
              <w:t xml:space="preserve">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актуализированного (уточненного) прогноза поступлений администрируемых платежей в бюджет Камышловского городского округа по кодам доходов бюджетной классификации (с приложением расчетов и пояснительной записки)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18 октября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Главные администраторы доходов бюджета Камышловского 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Направление главным распорядителям бюджетных средств плановых объемов бюджетных ассигнований на 2022 год и плановый период 2023 и 2024 годов в части расходов,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до 20 октября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 xml:space="preserve">Финансовое управление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администрации Камышловского</w:t>
            </w:r>
          </w:p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городского округа</w:t>
            </w:r>
          </w:p>
        </w:tc>
      </w:tr>
      <w:tr>
        <w:trPr>
          <w:trHeight w:val="60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администрации Камышловского городского округа: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реестр муниципальных  программ Камышловского городского округа с указанием объемов бюджетных ассигнований местного бюджета на их реализацию на очередной финансовый год и плановый период;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-перечень муниципальных программ Камышловского городского округа на 2022 год и плановый период 2023 и 2024 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20 октября 2021 года     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в финансовое управление администрации Камышловского городского округа предложения по распределению бюджетных ассигнований местного бюджета на 2022 год и плановый период 2023 и 2024 годов в разрезе кодов бюджетной классификации расходов бюджета, с пояснительной запиской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25 октября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Главные          </w:t>
              <w:br/>
              <w:t xml:space="preserve">распорядители    </w:t>
              <w:br/>
              <w:t xml:space="preserve">средств бюджета  </w:t>
              <w:br/>
              <w:t xml:space="preserve">Камышловского       </w:t>
              <w:br/>
              <w:t>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61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финансовое управление администрации Камышловского городского округа сведения о целях гарантирования с указанием объемов обязательств по каждой цели и сроках их исполнения, для обеспечения которых планируется предоставить муниципальные гарантии Камышловского городского округа в 2022 году и плановом периоде  2023 и 2024 годах, а так же объемов бюджетных ассигнований в 2022 году и плановом периоде  2023 и 2024 годах на возможное исполнение выданных муниципальных гарантий Камышловского городского округа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25 октября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228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на утверждение главе Камышловского городского округа предварительные итоги социально-экономического развития Камышловского городского округа за 9 месяцев 2021 года и ожидаемые итоги социально-экономического развития Камышловского городского округа за 2021 год. 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Направить предварительные и ожидаемые итоги в финансовое управление администрации Камышловского городского округа   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25 октября      </w:t>
              <w:br/>
              <w:t xml:space="preserve">2021 года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2077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в  финансовое управление администрации Камышловского городского округа  информацию о суммах средств, подлежащих возврату в местный бюджет в 2022 - 2024 годах по исполненным за счет средств местного бюджета муниципальным  гарантиям Камышловского городского округа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25 октября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1309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Разработать основные направления бюджетной и налоговой политики Камышловского городского округа 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02 ноября      </w:t>
              <w:br/>
              <w:t xml:space="preserve">2021 года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155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Внесение изменений в порядок применения бюджетной классификации Российской Федерации в части, относящейся к бюджету Камышловского городского округа на 2022 год и плановый период 2023 и 2024 годов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 02 ноября 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Финансовое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управление  администрации Камышловс-кого городского округа</w:t>
            </w:r>
          </w:p>
        </w:tc>
      </w:tr>
      <w:tr>
        <w:trPr>
          <w:trHeight w:val="1409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главе Камышловского городского округа оценку ожидаемого исполнения бюджета на 2021 год</w:t>
            </w:r>
          </w:p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08 ноября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Финансовое       </w:t>
              <w:br/>
              <w:t xml:space="preserve">управление       </w:t>
              <w:br/>
              <w:t xml:space="preserve">администрации    </w:t>
              <w:br/>
              <w:t xml:space="preserve">Камышловского       </w:t>
              <w:br/>
              <w:t>городского округа</w:t>
            </w:r>
          </w:p>
        </w:tc>
      </w:tr>
      <w:tr>
        <w:trPr>
          <w:trHeight w:val="1223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Представить на одобрение главе Камышловского городского округа прогноз социально-экономического развития Камышловского городского округа на 2022 - 2024 годы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08 ноября 2021 года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Отдел экономики</w:t>
            </w:r>
          </w:p>
        </w:tc>
      </w:tr>
      <w:tr>
        <w:trPr>
          <w:trHeight w:val="1409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Представить проект бюджетного прогноза Камышловского городского округа на долгосрочный период   </w:t>
            </w:r>
          </w:p>
          <w:p>
            <w:pPr>
              <w:pStyle w:val="ConsPlusNormal"/>
              <w:bidi w:val="0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08 ноября 2021 года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Финансовое       </w:t>
              <w:br/>
              <w:t xml:space="preserve">управление       </w:t>
              <w:br/>
              <w:t xml:space="preserve">администрации    </w:t>
              <w:br/>
              <w:t xml:space="preserve">Камышловского       </w:t>
              <w:br/>
              <w:t>городского округа</w:t>
            </w:r>
          </w:p>
        </w:tc>
      </w:tr>
      <w:tr>
        <w:trPr>
          <w:trHeight w:val="151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 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Разработать и представить главе Камышловского городского округа проект бюджета Камышловского городского округа на 2022 год и плановый период 2023 и 2024 годов, а также документы, представляемые в Думу Камышловского городского округа и Контрольный орган Камышловского городского округа одновременно с указанным проектом, разработка которых возложена на финансовое управление администрации Камышловского городского округа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 08 ноября      </w:t>
              <w:br/>
              <w:t>2021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Финансовое       </w:t>
              <w:br/>
              <w:t xml:space="preserve">управление       </w:t>
              <w:br/>
              <w:t xml:space="preserve">администрации    </w:t>
              <w:br/>
              <w:t xml:space="preserve">Камышловского       </w:t>
              <w:br/>
              <w:t>городского округа</w:t>
            </w:r>
          </w:p>
          <w:p>
            <w:pPr>
              <w:pStyle w:val="ConsPlusCell"/>
              <w:widowControl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</w:tbl>
    <w:p>
      <w:pPr>
        <w:pStyle w:val="Normal"/>
        <w:autoSpaceDE w:val="false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559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Times New Roman CYR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ыделение жирным"/>
    <w:basedOn w:val="Style13"/>
    <w:qFormat/>
    <w:rPr>
      <w:b/>
      <w:bCs/>
    </w:rPr>
  </w:style>
  <w:style w:type="character" w:styleId="Style16">
    <w:name w:val="Верхний колонтитул Знак"/>
    <w:basedOn w:val="Style13"/>
    <w:qFormat/>
    <w:rPr/>
  </w:style>
  <w:style w:type="character" w:styleId="61">
    <w:name w:val="Заголовок 6 Знак"/>
    <w:basedOn w:val="Style13"/>
    <w:qFormat/>
    <w:rPr>
      <w:sz w:val="28"/>
    </w:rPr>
  </w:style>
  <w:style w:type="character" w:styleId="Style17">
    <w:name w:val="Основной текст с отступом Знак"/>
    <w:basedOn w:val="Style13"/>
    <w:qFormat/>
    <w:rPr>
      <w:sz w:val="26"/>
    </w:rPr>
  </w:style>
  <w:style w:type="character" w:styleId="2">
    <w:name w:val="Основной текст 2 Знак"/>
    <w:basedOn w:val="Style13"/>
    <w:qFormat/>
    <w:rPr/>
  </w:style>
  <w:style w:type="character" w:styleId="3">
    <w:name w:val="Основной текст с отступом 3 Знак"/>
    <w:basedOn w:val="Style13"/>
    <w:qFormat/>
    <w:rPr>
      <w:sz w:val="16"/>
      <w:szCs w:val="16"/>
    </w:rPr>
  </w:style>
  <w:style w:type="character" w:styleId="21">
    <w:name w:val="Основной текст с отступом 2 Знак"/>
    <w:basedOn w:val="Style13"/>
    <w:qFormat/>
    <w:rPr>
      <w:sz w:val="24"/>
      <w:szCs w:val="24"/>
    </w:rPr>
  </w:style>
  <w:style w:type="character" w:styleId="Style18">
    <w:name w:val="Основной текст Знак"/>
    <w:basedOn w:val="Style13"/>
    <w:qFormat/>
    <w:rPr/>
  </w:style>
  <w:style w:type="character" w:styleId="Style19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20">
    <w:name w:val="Нижний колонтитул Знак"/>
    <w:basedOn w:val="Style13"/>
    <w:qFormat/>
    <w:rPr/>
  </w:style>
  <w:style w:type="character" w:styleId="31">
    <w:name w:val="Основной текст 3 Знак"/>
    <w:basedOn w:val="Style13"/>
    <w:qFormat/>
    <w:rPr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Tahoma" w:cs="Ari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6">
    <w:name w:val="Body Text Indent"/>
    <w:basedOn w:val="Normal"/>
    <w:pPr>
      <w:ind w:left="0" w:right="0" w:firstLine="576"/>
      <w:jc w:val="both"/>
    </w:pPr>
    <w:rPr>
      <w:sz w:val="26"/>
    </w:rPr>
  </w:style>
  <w:style w:type="paragraph" w:styleId="BodyText3">
    <w:name w:val="Body Text 3"/>
    <w:basedOn w:val="Normal"/>
    <w:qFormat/>
    <w:pPr>
      <w:jc w:val="both"/>
    </w:pPr>
    <w:rPr>
      <w:sz w:val="28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spacing w:lineRule="auto" w:line="480" w:before="0" w:after="120"/>
    </w:pPr>
    <w:rPr/>
  </w:style>
  <w:style w:type="paragraph" w:styleId="32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4"/>
      <w:szCs w:val="24"/>
    </w:rPr>
  </w:style>
  <w:style w:type="paragraph" w:styleId="Style29">
    <w:name w:val="Обычный (веб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Style30">
    <w:name w:val=" Знак Знак Знак Знак Знак Знак"/>
    <w:basedOn w:val="Normal"/>
    <w:qFormat/>
    <w:pPr/>
    <w:rPr>
      <w:rFonts w:ascii="Verdana" w:hAnsi="Verdana" w:cs="Verdana"/>
      <w:lang w:val="en-US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overflowPunct w:val="false"/>
      <w:autoSpaceDE w:val="false"/>
      <w:spacing w:lineRule="auto" w:line="480" w:before="0" w:after="120"/>
      <w:textAlignment w:val="baseline"/>
    </w:pPr>
    <w:rPr>
      <w:rFonts w:ascii="Times New Roman CYR" w:hAnsi="Times New Roman CYR" w:cs="Times New Roman CYR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left="0" w:right="0" w:firstLine="72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33">
    <w:name w:val="Знак Знак"/>
    <w:basedOn w:val="Normal"/>
    <w:qFormat/>
    <w:pPr/>
    <w:rPr>
      <w:rFonts w:ascii="Verdana" w:hAnsi="Verdana" w:cs="Verdana"/>
      <w:lang w:val="en-US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Обычный"/>
    <w:qFormat/>
    <w:pPr>
      <w:widowControl w:val="false"/>
      <w:suppressAutoHyphens w:val="true"/>
      <w:bidi w:val="0"/>
    </w:pPr>
    <w:rPr>
      <w:rFonts w:ascii="Times New Roman" w:hAnsi="Times New Roman" w:eastAsia="Tahoma" w:cs="Ari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4925</TotalTime>
  <Application>LibreOffice/6.3.4.2$Windows_X86_64 LibreOffice_project/60da17e045e08f1793c57c00ba83cdfce946d0aa</Application>
  <Pages>12</Pages>
  <Words>2617</Words>
  <Characters>18561</Characters>
  <CharactersWithSpaces>21801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2015-09-03T16:49:00Z</dcterms:created>
  <dc:creator>1</dc:creator>
  <dc:description/>
  <dc:language>ru-RU</dc:language>
  <cp:lastModifiedBy/>
  <cp:lastPrinted>1995-11-21T17:41:00Z</cp:lastPrinted>
  <dcterms:modified xsi:type="dcterms:W3CDTF">2021-06-28T16:34:25Z</dcterms:modified>
  <cp:revision>70</cp:revision>
  <dc:subject/>
  <dc:title> </dc:title>
</cp:coreProperties>
</file>