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21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16.xml" ContentType="application/vnd.openxmlformats-officedocument.wordprocessingml.footer+xml"/>
  <Override PartName="/word/media/image3.png" ContentType="image/png"/>
  <Override PartName="/word/media/image1.jpeg" ContentType="image/jpeg"/>
  <Override PartName="/word/media/image2.png" ContentType="image/png"/>
  <Override PartName="/word/media/image4.png" ContentType="image/png"/>
  <Override PartName="/word/media/image5.png" ContentType="image/png"/>
  <Override PartName="/word/footer20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2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23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24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25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26.xml" ContentType="application/vnd.openxmlformats-officedocument.wordprocessingml.foot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27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oter28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numbering.xml" ContentType="application/vnd.openxmlformats-officedocument.wordprocessingml.numbering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29.xml" ContentType="application/vnd.openxmlformats-officedocument.wordprocessingml.footer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40"/>
        <w:tabs>
          <w:tab w:val="clear" w:pos="709"/>
          <w:tab w:val="left" w:pos="142" w:leader="none"/>
        </w:tabs>
        <w:rPr/>
      </w:pPr>
      <w:r>
        <w:rPr/>
      </w:r>
      <w:bookmarkStart w:id="0" w:name="_Toc374357102"/>
      <w:bookmarkStart w:id="1" w:name="_Toc374357552"/>
      <w:bookmarkStart w:id="2" w:name="_Toc374358246"/>
      <w:bookmarkStart w:id="3" w:name="_Toc374359587"/>
      <w:bookmarkStart w:id="4" w:name="_Toc374359705"/>
      <w:bookmarkStart w:id="5" w:name="_Toc383682155"/>
      <w:bookmarkStart w:id="6" w:name="_Toc384043175"/>
      <w:bookmarkStart w:id="7" w:name="_Toc384043729"/>
      <w:bookmarkStart w:id="8" w:name="_Toc384043870"/>
      <w:bookmarkStart w:id="9" w:name="_Toc390695975"/>
      <w:bookmarkStart w:id="10" w:name="_Toc390696187"/>
      <w:bookmarkStart w:id="11" w:name="_Toc374357102"/>
      <w:bookmarkStart w:id="12" w:name="_Toc374357552"/>
      <w:bookmarkStart w:id="13" w:name="_Toc374358246"/>
      <w:bookmarkStart w:id="14" w:name="_Toc374359587"/>
      <w:bookmarkStart w:id="15" w:name="_Toc374359705"/>
      <w:bookmarkStart w:id="16" w:name="_Toc383682155"/>
      <w:bookmarkStart w:id="17" w:name="_Toc384043175"/>
      <w:bookmarkStart w:id="18" w:name="_Toc384043729"/>
      <w:bookmarkStart w:id="19" w:name="_Toc384043870"/>
      <w:bookmarkStart w:id="20" w:name="_Toc390695975"/>
      <w:bookmarkStart w:id="21" w:name="_Toc390696187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pPr>
        <w:pStyle w:val="Style40"/>
        <w:tabs>
          <w:tab w:val="clear" w:pos="709"/>
          <w:tab w:val="left" w:pos="142" w:leader="none"/>
        </w:tabs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sz w:val="20"/>
          <w:szCs w:val="20"/>
        </w:rPr>
      </w:pPr>
      <w:r>
        <w:rPr>
          <w:rFonts w:ascii="Liberation Serif" w:hAnsi="Liberation Serif"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sz w:val="25"/>
          <w:szCs w:val="25"/>
        </w:rPr>
      </w:pPr>
      <w:r>
        <w:rPr>
          <w:rFonts w:ascii="Liberation Serif" w:hAnsi="Liberation Serif"/>
          <w:sz w:val="25"/>
          <w:szCs w:val="25"/>
        </w:rPr>
      </w:r>
    </w:p>
    <w:p>
      <w:pPr>
        <w:pStyle w:val="Style63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  <w:sz w:val="20"/>
          <w:szCs w:val="20"/>
          <w:lang w:eastAsia="ru-RU"/>
        </w:rPr>
        <w:drawing>
          <wp:inline distT="0" distB="0" distL="0" distR="0">
            <wp:extent cx="1671955" cy="2545080"/>
            <wp:effectExtent l="0" t="0" r="0" b="0"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sz w:val="20"/>
          <w:szCs w:val="20"/>
        </w:rPr>
      </w:pPr>
      <w:r>
        <w:rPr>
          <w:rFonts w:ascii="Liberation Serif" w:hAnsi="Liberation Serif"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sz w:val="20"/>
          <w:szCs w:val="20"/>
        </w:rPr>
      </w:pPr>
      <w:r>
        <w:rPr>
          <w:rFonts w:ascii="Liberation Serif" w:hAnsi="Liberation Serif"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sz w:val="20"/>
          <w:szCs w:val="20"/>
        </w:rPr>
      </w:pPr>
      <w:r>
        <w:rPr>
          <w:rFonts w:ascii="Liberation Serif" w:hAnsi="Liberation Serif"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sz w:val="20"/>
          <w:szCs w:val="20"/>
        </w:rPr>
      </w:pPr>
      <w:r>
        <w:rPr>
          <w:rFonts w:ascii="Liberation Serif" w:hAnsi="Liberation Serif"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sz w:val="20"/>
          <w:szCs w:val="20"/>
        </w:rPr>
      </w:pPr>
      <w:r>
        <w:rPr>
          <w:rFonts w:ascii="Liberation Serif" w:hAnsi="Liberation Serif"/>
          <w:sz w:val="20"/>
          <w:szCs w:val="20"/>
        </w:rPr>
      </w:r>
    </w:p>
    <w:p>
      <w:pPr>
        <w:pStyle w:val="Style63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63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СХЕМА ВОДООТВЕДЕНИЯ</w:t>
      </w:r>
    </w:p>
    <w:p>
      <w:pPr>
        <w:pStyle w:val="Style63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КАМЫШЛОВСКОГО ГОРОДСКОГО ОКРУГА</w:t>
      </w:r>
    </w:p>
    <w:p>
      <w:pPr>
        <w:pStyle w:val="Style63"/>
        <w:tabs>
          <w:tab w:val="clear" w:pos="709"/>
          <w:tab w:val="left" w:pos="142" w:leader="none"/>
        </w:tabs>
        <w:rPr>
          <w:rFonts w:ascii="Liberation Serif" w:hAnsi="Liberation Serif"/>
          <w:b w:val="false"/>
          <w:b w:val="false"/>
        </w:rPr>
      </w:pPr>
      <w:r>
        <w:rPr>
          <w:rFonts w:ascii="Liberation Serif" w:hAnsi="Liberation Serif"/>
          <w:b w:val="false"/>
        </w:rPr>
        <w:t>на период до 2034 года</w:t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b/>
          <w:b/>
          <w:bCs/>
          <w:sz w:val="20"/>
          <w:szCs w:val="20"/>
        </w:rPr>
      </w:pPr>
      <w:r>
        <w:rPr>
          <w:rFonts w:ascii="Liberation Serif" w:hAnsi="Liberation Serif"/>
          <w:b/>
          <w:bCs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b/>
          <w:b/>
          <w:bCs/>
          <w:sz w:val="20"/>
          <w:szCs w:val="20"/>
        </w:rPr>
      </w:pPr>
      <w:r>
        <w:rPr>
          <w:rFonts w:ascii="Liberation Serif" w:hAnsi="Liberation Serif"/>
          <w:b/>
          <w:bCs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b/>
          <w:b/>
          <w:bCs/>
          <w:sz w:val="20"/>
          <w:szCs w:val="20"/>
        </w:rPr>
      </w:pPr>
      <w:r>
        <w:rPr>
          <w:rFonts w:ascii="Liberation Serif" w:hAnsi="Liberation Serif"/>
          <w:b/>
          <w:bCs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b/>
          <w:b/>
          <w:bCs/>
          <w:sz w:val="20"/>
          <w:szCs w:val="20"/>
        </w:rPr>
      </w:pPr>
      <w:r>
        <w:rPr>
          <w:rFonts w:ascii="Liberation Serif" w:hAnsi="Liberation Serif"/>
          <w:b/>
          <w:bCs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b/>
          <w:b/>
          <w:bCs/>
          <w:sz w:val="20"/>
          <w:szCs w:val="20"/>
        </w:rPr>
      </w:pPr>
      <w:r>
        <w:rPr>
          <w:rFonts w:ascii="Liberation Serif" w:hAnsi="Liberation Serif"/>
          <w:b/>
          <w:bCs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b/>
          <w:b/>
          <w:bCs/>
          <w:sz w:val="20"/>
          <w:szCs w:val="20"/>
        </w:rPr>
      </w:pPr>
      <w:r>
        <w:rPr>
          <w:rFonts w:ascii="Liberation Serif" w:hAnsi="Liberation Serif"/>
          <w:b/>
          <w:bCs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b/>
          <w:b/>
          <w:bCs/>
          <w:sz w:val="20"/>
          <w:szCs w:val="20"/>
        </w:rPr>
      </w:pPr>
      <w:r>
        <w:rPr>
          <w:rFonts w:ascii="Liberation Serif" w:hAnsi="Liberation Serif"/>
          <w:b/>
          <w:bCs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b/>
          <w:b/>
          <w:bCs/>
          <w:sz w:val="20"/>
          <w:szCs w:val="20"/>
        </w:rPr>
      </w:pPr>
      <w:r>
        <w:rPr>
          <w:rFonts w:ascii="Liberation Serif" w:hAnsi="Liberation Serif"/>
          <w:b/>
          <w:bCs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b/>
          <w:b/>
          <w:bCs/>
          <w:sz w:val="20"/>
          <w:szCs w:val="20"/>
        </w:rPr>
      </w:pPr>
      <w:r>
        <w:rPr>
          <w:rFonts w:ascii="Liberation Serif" w:hAnsi="Liberation Serif"/>
          <w:b/>
          <w:bCs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b/>
          <w:b/>
          <w:bCs/>
          <w:sz w:val="20"/>
          <w:szCs w:val="20"/>
        </w:rPr>
      </w:pPr>
      <w:r>
        <w:rPr>
          <w:rFonts w:ascii="Liberation Serif" w:hAnsi="Liberation Serif"/>
          <w:b/>
          <w:bCs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b/>
          <w:b/>
          <w:bCs/>
          <w:sz w:val="20"/>
          <w:szCs w:val="20"/>
        </w:rPr>
      </w:pPr>
      <w:r>
        <w:rPr>
          <w:rFonts w:ascii="Liberation Serif" w:hAnsi="Liberation Serif"/>
          <w:b/>
          <w:bCs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b/>
          <w:b/>
          <w:bCs/>
          <w:sz w:val="20"/>
          <w:szCs w:val="20"/>
        </w:rPr>
      </w:pPr>
      <w:r>
        <w:rPr>
          <w:rFonts w:ascii="Liberation Serif" w:hAnsi="Liberation Serif"/>
          <w:b/>
          <w:bCs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b/>
          <w:b/>
          <w:bCs/>
          <w:sz w:val="20"/>
          <w:szCs w:val="20"/>
        </w:rPr>
      </w:pPr>
      <w:r>
        <w:rPr>
          <w:rFonts w:ascii="Liberation Serif" w:hAnsi="Liberation Serif"/>
          <w:b/>
          <w:bCs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b/>
          <w:b/>
          <w:bCs/>
          <w:sz w:val="20"/>
          <w:szCs w:val="20"/>
        </w:rPr>
      </w:pPr>
      <w:r>
        <w:rPr>
          <w:rFonts w:ascii="Liberation Serif" w:hAnsi="Liberation Serif"/>
          <w:b/>
          <w:bCs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b/>
          <w:b/>
          <w:bCs/>
          <w:sz w:val="20"/>
          <w:szCs w:val="20"/>
        </w:rPr>
      </w:pPr>
      <w:r>
        <w:rPr>
          <w:rFonts w:ascii="Liberation Serif" w:hAnsi="Liberation Serif"/>
          <w:b/>
          <w:bCs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b/>
          <w:b/>
          <w:bCs/>
          <w:sz w:val="20"/>
          <w:szCs w:val="20"/>
        </w:rPr>
      </w:pPr>
      <w:r>
        <w:rPr>
          <w:rFonts w:ascii="Liberation Serif" w:hAnsi="Liberation Serif"/>
          <w:b/>
          <w:bCs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b/>
          <w:b/>
          <w:bCs/>
          <w:sz w:val="20"/>
          <w:szCs w:val="20"/>
        </w:rPr>
      </w:pPr>
      <w:r>
        <w:rPr>
          <w:rFonts w:ascii="Liberation Serif" w:hAnsi="Liberation Serif"/>
          <w:b/>
          <w:bCs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jc w:val="center"/>
        <w:rPr>
          <w:rFonts w:ascii="Liberation Serif" w:hAnsi="Liberation Serif"/>
          <w:b/>
          <w:b/>
          <w:bCs/>
          <w:sz w:val="21"/>
          <w:szCs w:val="21"/>
        </w:rPr>
      </w:pPr>
      <w:r>
        <w:rPr>
          <w:rFonts w:ascii="Liberation Serif" w:hAnsi="Liberation Serif"/>
          <w:b/>
          <w:bCs/>
          <w:sz w:val="21"/>
          <w:szCs w:val="21"/>
        </w:rPr>
      </w:r>
    </w:p>
    <w:p>
      <w:pPr>
        <w:pStyle w:val="Style40"/>
        <w:tabs>
          <w:tab w:val="clear" w:pos="709"/>
          <w:tab w:val="left" w:pos="142" w:leader="none"/>
        </w:tabs>
        <w:jc w:val="center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column">
                  <wp:posOffset>5700395</wp:posOffset>
                </wp:positionH>
                <wp:positionV relativeFrom="paragraph">
                  <wp:posOffset>169545</wp:posOffset>
                </wp:positionV>
                <wp:extent cx="1033145" cy="568960"/>
                <wp:effectExtent l="0" t="0" r="0" b="0"/>
                <wp:wrapNone/>
                <wp:docPr id="2" name="Прямоугольник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480" cy="568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60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оугольник 2" fillcolor="white" stroked="t" style="position:absolute;margin-left:448.85pt;margin-top:13.35pt;width:81.25pt;height:44.7pt">
                <w10:wrap type="none"/>
                <v:fill o:detectmouseclick="t" type="solid" color2="black"/>
                <v:stroke color="white" weight="12600" joinstyle="miter" endcap="flat"/>
              </v:shape>
            </w:pict>
          </mc:Fallback>
        </mc:AlternateContent>
      </w:r>
      <w:r>
        <w:rPr>
          <w:rStyle w:val="Style9"/>
          <w:rFonts w:ascii="Liberation Serif" w:hAnsi="Liberation Serif"/>
          <w:spacing w:val="1"/>
          <w:szCs w:val="24"/>
        </w:rPr>
        <w:t>Екатеринбург,</w:t>
      </w:r>
      <w:r>
        <w:rPr>
          <w:rStyle w:val="Style9"/>
          <w:rFonts w:ascii="Liberation Serif" w:hAnsi="Liberation Serif"/>
          <w:spacing w:val="6"/>
          <w:szCs w:val="24"/>
        </w:rPr>
        <w:t xml:space="preserve"> </w:t>
      </w:r>
      <w:r>
        <w:rPr>
          <w:rStyle w:val="Style9"/>
          <w:rFonts w:ascii="Liberation Serif" w:hAnsi="Liberation Serif"/>
          <w:spacing w:val="1"/>
          <w:szCs w:val="24"/>
        </w:rPr>
        <w:t>2018</w:t>
      </w:r>
    </w:p>
    <w:p>
      <w:pPr>
        <w:pStyle w:val="Style40"/>
        <w:tabs>
          <w:tab w:val="clear" w:pos="709"/>
          <w:tab w:val="left" w:pos="142" w:leader="none"/>
        </w:tabs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ind w:left="5669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Приложение</w:t>
      </w:r>
    </w:p>
    <w:p>
      <w:pPr>
        <w:pStyle w:val="Style40"/>
        <w:tabs>
          <w:tab w:val="clear" w:pos="709"/>
          <w:tab w:val="left" w:pos="142" w:leader="none"/>
        </w:tabs>
        <w:ind w:left="5669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УТВЕРЖДЕНА</w:t>
      </w:r>
    </w:p>
    <w:p>
      <w:pPr>
        <w:pStyle w:val="Style40"/>
        <w:tabs>
          <w:tab w:val="clear" w:pos="709"/>
          <w:tab w:val="left" w:pos="142" w:leader="none"/>
        </w:tabs>
        <w:ind w:left="5669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постановлением администрации</w:t>
      </w:r>
    </w:p>
    <w:p>
      <w:pPr>
        <w:pStyle w:val="Style40"/>
        <w:tabs>
          <w:tab w:val="clear" w:pos="709"/>
          <w:tab w:val="left" w:pos="142" w:leader="none"/>
        </w:tabs>
        <w:ind w:left="5669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Камышловского городского округа</w:t>
      </w:r>
    </w:p>
    <w:p>
      <w:pPr>
        <w:pStyle w:val="Style40"/>
        <w:tabs>
          <w:tab w:val="clear" w:pos="709"/>
          <w:tab w:val="left" w:pos="142" w:leader="none"/>
        </w:tabs>
        <w:ind w:left="5669" w:hanging="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от 06.02.2019 № 65</w:t>
      </w:r>
    </w:p>
    <w:p>
      <w:pPr>
        <w:pStyle w:val="Style40"/>
        <w:tabs>
          <w:tab w:val="clear" w:pos="709"/>
          <w:tab w:val="left" w:pos="142" w:leader="none"/>
        </w:tabs>
        <w:ind w:left="5669" w:hanging="0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ind w:hanging="0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63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СХЕМА ВОДООТВЕДЕНИЯ</w:t>
      </w:r>
    </w:p>
    <w:p>
      <w:pPr>
        <w:pStyle w:val="Style63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КАМЫШЛОВСКОГО ГОРОДСКОГО ОКРУГА</w:t>
      </w:r>
    </w:p>
    <w:p>
      <w:pPr>
        <w:pStyle w:val="Style63"/>
        <w:tabs>
          <w:tab w:val="clear" w:pos="709"/>
          <w:tab w:val="left" w:pos="142" w:leader="none"/>
        </w:tabs>
        <w:rPr>
          <w:rFonts w:ascii="Liberation Serif" w:hAnsi="Liberation Serif"/>
          <w:b w:val="false"/>
          <w:b w:val="false"/>
        </w:rPr>
      </w:pPr>
      <w:r>
        <w:rPr>
          <w:rFonts w:ascii="Liberation Serif" w:hAnsi="Liberation Serif"/>
          <w:b w:val="false"/>
        </w:rPr>
        <w:t>на период до 2034 года</w:t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                                </w:t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ind w:hanging="0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ind w:hanging="0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ind w:hanging="0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ind w:hanging="0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ind w:hanging="0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</w:r>
    </w:p>
    <w:tbl>
      <w:tblPr>
        <w:tblW w:w="10421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5"/>
        <w:gridCol w:w="3796"/>
      </w:tblGrid>
      <w:tr>
        <w:trPr/>
        <w:tc>
          <w:tcPr>
            <w:tcW w:w="6625" w:type="dxa"/>
            <w:tcBorders/>
            <w:shd w:fill="auto" w:val="clear"/>
            <w:vAlign w:val="center"/>
          </w:tcPr>
          <w:p>
            <w:pPr>
              <w:pStyle w:val="Style40"/>
              <w:tabs>
                <w:tab w:val="clear" w:pos="709"/>
                <w:tab w:val="left" w:pos="7371" w:leader="none"/>
              </w:tabs>
              <w:ind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Индивидуальный предприниматель</w:t>
            </w:r>
          </w:p>
          <w:p>
            <w:pPr>
              <w:pStyle w:val="Style40"/>
              <w:tabs>
                <w:tab w:val="clear" w:pos="709"/>
                <w:tab w:val="left" w:pos="7371" w:leader="none"/>
              </w:tabs>
              <w:ind w:hanging="0"/>
              <w:jc w:val="left"/>
              <w:rPr/>
            </w:pPr>
            <w:r>
              <w:rPr>
                <w:rStyle w:val="Style9"/>
                <w:rFonts w:ascii="Liberation Serif" w:hAnsi="Liberation Serif"/>
              </w:rPr>
              <w:t>«Т-Энергетика»</w:t>
            </w:r>
          </w:p>
        </w:tc>
        <w:tc>
          <w:tcPr>
            <w:tcW w:w="3796" w:type="dxa"/>
            <w:tcBorders/>
            <w:shd w:fill="auto" w:val="clear"/>
            <w:vAlign w:val="center"/>
          </w:tcPr>
          <w:p>
            <w:pPr>
              <w:pStyle w:val="Style40"/>
              <w:tabs>
                <w:tab w:val="clear" w:pos="709"/>
                <w:tab w:val="left" w:pos="7371" w:leader="none"/>
              </w:tabs>
              <w:spacing w:lineRule="auto" w:line="360"/>
              <w:jc w:val="right"/>
              <w:rPr/>
            </w:pPr>
            <w:r>
              <w:rPr>
                <w:rStyle w:val="Style9"/>
                <w:rFonts w:ascii="Liberation Serif" w:hAnsi="Liberation Serif"/>
                <w:szCs w:val="24"/>
              </w:rPr>
              <w:t>А.А. Бессонов</w:t>
            </w:r>
          </w:p>
        </w:tc>
      </w:tr>
    </w:tbl>
    <w:p>
      <w:pPr>
        <w:pStyle w:val="Style40"/>
        <w:tabs>
          <w:tab w:val="clear" w:pos="709"/>
          <w:tab w:val="left" w:pos="142" w:leader="none"/>
        </w:tabs>
        <w:ind w:hanging="0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ind w:hanging="0"/>
        <w:rPr>
          <w:rFonts w:ascii="Liberation Serif" w:hAnsi="Liberation Serif"/>
          <w:b/>
          <w:b/>
          <w:bCs/>
          <w:sz w:val="20"/>
          <w:szCs w:val="20"/>
        </w:rPr>
      </w:pPr>
      <w:r>
        <w:rPr>
          <w:rFonts w:ascii="Liberation Serif" w:hAnsi="Liberation Serif"/>
          <w:b/>
          <w:bCs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b/>
          <w:b/>
          <w:bCs/>
          <w:sz w:val="20"/>
          <w:szCs w:val="20"/>
        </w:rPr>
      </w:pPr>
      <w:r>
        <w:rPr>
          <w:rFonts w:ascii="Liberation Serif" w:hAnsi="Liberation Serif"/>
          <w:b/>
          <w:bCs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b/>
          <w:b/>
          <w:bCs/>
          <w:sz w:val="20"/>
          <w:szCs w:val="20"/>
        </w:rPr>
      </w:pPr>
      <w:r>
        <w:rPr>
          <w:rFonts w:ascii="Liberation Serif" w:hAnsi="Liberation Serif"/>
          <w:b/>
          <w:bCs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b/>
          <w:b/>
          <w:bCs/>
          <w:sz w:val="20"/>
          <w:szCs w:val="20"/>
        </w:rPr>
      </w:pPr>
      <w:r>
        <w:rPr>
          <w:rFonts w:ascii="Liberation Serif" w:hAnsi="Liberation Serif"/>
          <w:b/>
          <w:bCs/>
          <w:sz w:val="20"/>
          <w:szCs w:val="20"/>
        </w:rPr>
      </w:r>
    </w:p>
    <w:p>
      <w:pPr>
        <w:pStyle w:val="Style40"/>
        <w:tabs>
          <w:tab w:val="clear" w:pos="709"/>
          <w:tab w:val="left" w:pos="142" w:leader="none"/>
        </w:tabs>
        <w:jc w:val="center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38">
                <wp:simplePos x="0" y="0"/>
                <wp:positionH relativeFrom="column">
                  <wp:posOffset>5583555</wp:posOffset>
                </wp:positionH>
                <wp:positionV relativeFrom="paragraph">
                  <wp:posOffset>80010</wp:posOffset>
                </wp:positionV>
                <wp:extent cx="1033145" cy="568960"/>
                <wp:effectExtent l="0" t="0" r="0" b="0"/>
                <wp:wrapNone/>
                <wp:docPr id="3" name="Прямоугольник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480" cy="568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60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Прямоугольник 2" fillcolor="white" stroked="t" style="position:absolute;margin-left:439.65pt;margin-top:6.3pt;width:81.25pt;height:44.7pt">
                <w10:wrap type="none"/>
                <v:fill o:detectmouseclick="t" type="solid" color2="black"/>
                <v:stroke color="white" weight="12600" joinstyle="miter" endcap="flat"/>
              </v:shape>
            </w:pict>
          </mc:Fallback>
        </mc:AlternateContent>
      </w:r>
      <w:r>
        <w:rPr>
          <w:rStyle w:val="Style9"/>
          <w:rFonts w:ascii="Liberation Serif" w:hAnsi="Liberation Serif"/>
          <w:spacing w:val="1"/>
          <w:szCs w:val="24"/>
        </w:rPr>
        <w:t>Екатеринбург,</w:t>
      </w:r>
      <w:r>
        <w:rPr>
          <w:rStyle w:val="Style9"/>
          <w:rFonts w:ascii="Liberation Serif" w:hAnsi="Liberation Serif"/>
          <w:spacing w:val="6"/>
          <w:szCs w:val="24"/>
        </w:rPr>
        <w:t xml:space="preserve"> </w:t>
      </w:r>
      <w:r>
        <w:rPr>
          <w:rStyle w:val="Style9"/>
          <w:rFonts w:ascii="Liberation Serif" w:hAnsi="Liberation Serif"/>
          <w:spacing w:val="1"/>
          <w:szCs w:val="24"/>
        </w:rPr>
        <w:t>2018</w:t>
      </w:r>
    </w:p>
    <w:p>
      <w:pPr>
        <w:pStyle w:val="Style57"/>
        <w:rPr/>
      </w:pPr>
      <w:bookmarkStart w:id="22" w:name="_Toc374357102"/>
      <w:bookmarkStart w:id="23" w:name="_Toc374357552"/>
      <w:bookmarkStart w:id="24" w:name="_Toc374358246"/>
      <w:bookmarkStart w:id="25" w:name="_Toc374359587"/>
      <w:bookmarkStart w:id="26" w:name="_Toc374359705"/>
      <w:bookmarkStart w:id="27" w:name="_Toc383682155"/>
      <w:bookmarkStart w:id="28" w:name="_Toc384043175"/>
      <w:bookmarkStart w:id="29" w:name="_Toc384043729"/>
      <w:bookmarkStart w:id="30" w:name="_Toc384043870"/>
      <w:bookmarkStart w:id="31" w:name="_Toc390695975"/>
      <w:bookmarkStart w:id="32" w:name="_Toc390696187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>
        <w:rPr>
          <w:rStyle w:val="Style9"/>
          <w:rFonts w:ascii="Liberation Serif" w:hAnsi="Liberation Serif"/>
          <w:color w:val="auto"/>
          <w:sz w:val="32"/>
          <w:szCs w:val="32"/>
        </w:rPr>
        <w:t>Оглавление</w:t>
      </w:r>
    </w:p>
    <w:p>
      <w:pPr>
        <w:pStyle w:val="16"/>
        <w:tabs>
          <w:tab w:val="clear" w:pos="8789"/>
          <w:tab w:val="right" w:pos="8930" w:leader="none"/>
        </w:tabs>
        <w:rPr/>
      </w:pPr>
      <w:r>
        <w:fldChar w:fldCharType="begin"/>
      </w:r>
      <w:r>
        <w:rPr>
          <w:rStyle w:val="Style10"/>
          <w:rFonts w:ascii="Liberation Serif" w:hAnsi="Liberation Serif"/>
        </w:rPr>
        <w:instrText> TOC \t "Заголовок 3,3,ААУр2,2,Maximyz Заголовок 1,1" \h</w:instrText>
      </w:r>
      <w:r>
        <w:rPr>
          <w:rStyle w:val="Style10"/>
          <w:rFonts w:ascii="Liberation Serif" w:hAnsi="Liberation Serif"/>
        </w:rPr>
        <w:fldChar w:fldCharType="separate"/>
      </w:r>
      <w:hyperlink w:anchor="_Toc531704215" w:tgtFrame="_top">
        <w:r>
          <w:rPr>
            <w:rStyle w:val="Style10"/>
            <w:rFonts w:ascii="Liberation Serif" w:hAnsi="Liberation Serif"/>
          </w:rPr>
          <w:t>Введение</w:t>
        </w:r>
      </w:hyperlink>
      <w:hyperlink w:anchor="_Toc531704215" w:tgtFrame="_top">
        <w:r>
          <w:rPr>
            <w:webHidden/>
          </w:rPr>
          <w:fldChar w:fldCharType="begin"/>
        </w:r>
        <w:r>
          <w:rPr>
            <w:webHidden/>
          </w:rPr>
          <w:instrText>PAGEREF _Toc531704215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5</w:t>
        </w:r>
        <w:r>
          <w:rPr>
            <w:webHidden/>
          </w:rPr>
          <w:fldChar w:fldCharType="end"/>
        </w:r>
      </w:hyperlink>
    </w:p>
    <w:p>
      <w:pPr>
        <w:pStyle w:val="16"/>
        <w:tabs>
          <w:tab w:val="clear" w:pos="8789"/>
          <w:tab w:val="right" w:pos="8930" w:leader="none"/>
        </w:tabs>
        <w:rPr/>
      </w:pPr>
      <w:hyperlink w:anchor="_Toc531704216" w:tgtFrame="_top">
        <w:r>
          <w:rPr>
            <w:rStyle w:val="Style10"/>
            <w:rFonts w:ascii="Liberation Serif" w:hAnsi="Liberation Serif"/>
          </w:rPr>
          <w:t>Общие сведения</w:t>
        </w:r>
      </w:hyperlink>
      <w:hyperlink w:anchor="_Toc531704216" w:tgtFrame="_top">
        <w:r>
          <w:rPr>
            <w:webHidden/>
          </w:rPr>
          <w:fldChar w:fldCharType="begin"/>
        </w:r>
        <w:r>
          <w:rPr>
            <w:webHidden/>
          </w:rPr>
          <w:instrText>PAGEREF _Toc531704216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7</w:t>
        </w:r>
        <w:r>
          <w:rPr>
            <w:webHidden/>
          </w:rPr>
          <w:fldChar w:fldCharType="end"/>
        </w:r>
      </w:hyperlink>
    </w:p>
    <w:p>
      <w:pPr>
        <w:pStyle w:val="16"/>
        <w:tabs>
          <w:tab w:val="right" w:pos="8789" w:leader="none"/>
        </w:tabs>
        <w:rPr/>
      </w:pPr>
      <w:hyperlink w:anchor="_Toc531704217" w:tgtFrame="_top">
        <w:r>
          <w:rPr>
            <w:rStyle w:val="Style10"/>
            <w:rFonts w:ascii="Liberation Serif" w:hAnsi="Liberation Serif"/>
          </w:rPr>
          <w:t>1.</w:t>
        </w:r>
      </w:hyperlink>
      <w:hyperlink w:anchor="_Toc531704217" w:tgtFrame="_top">
        <w:r>
          <w:rPr>
            <w:webHidden/>
          </w:rPr>
          <w:fldChar w:fldCharType="begin"/>
        </w:r>
        <w:r>
          <w:rPr>
            <w:webHidden/>
          </w:rPr>
          <w:instrText>PAGEREF _Toc531704217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pacing w:val="0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17" w:tgtFrame="_top">
        <w:r>
          <w:rPr>
            <w:webHidden/>
          </w:rPr>
          <w:fldChar w:fldCharType="begin"/>
        </w:r>
        <w:r>
          <w:rPr>
            <w:webHidden/>
          </w:rPr>
          <w:instrText>PAGEREF _Toc531704217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Существующее положение в сфере водоотведения Камышловского городского округа</w:t>
        </w:r>
        <w:r>
          <w:rPr>
            <w:webHidden/>
          </w:rPr>
          <w:fldChar w:fldCharType="end"/>
        </w:r>
      </w:hyperlink>
      <w:hyperlink w:anchor="_Toc531704217" w:tgtFrame="_top">
        <w:r>
          <w:rPr>
            <w:webHidden/>
          </w:rPr>
          <w:fldChar w:fldCharType="begin"/>
        </w:r>
        <w:r>
          <w:rPr>
            <w:webHidden/>
          </w:rPr>
          <w:instrText>PAGEREF _Toc531704217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11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18" w:tgtFrame="_top">
        <w:r>
          <w:rPr>
            <w:rStyle w:val="Style10"/>
            <w:rFonts w:ascii="Liberation Serif" w:hAnsi="Liberation Serif"/>
            <w:w w:val="99"/>
          </w:rPr>
          <w:t>1.1.</w:t>
        </w:r>
      </w:hyperlink>
      <w:hyperlink w:anchor="_Toc531704218" w:tgtFrame="_top">
        <w:r>
          <w:rPr>
            <w:webHidden/>
          </w:rPr>
          <w:fldChar w:fldCharType="begin"/>
        </w:r>
        <w:r>
          <w:rPr>
            <w:webHidden/>
          </w:rPr>
          <w:instrText>PAGEREF _Toc531704218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18" w:tgtFrame="_top">
        <w:r>
          <w:rPr>
            <w:webHidden/>
          </w:rPr>
          <w:fldChar w:fldCharType="begin"/>
        </w:r>
        <w:r>
          <w:rPr>
            <w:webHidden/>
          </w:rPr>
          <w:instrText>PAGEREF _Toc531704218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Описание структуры системы сбора, очистки и отведения сточных вод на территории поселения и деление территории на эксплуатационные зоны</w:t>
        </w:r>
        <w:r>
          <w:rPr>
            <w:webHidden/>
          </w:rPr>
          <w:fldChar w:fldCharType="end"/>
        </w:r>
      </w:hyperlink>
      <w:hyperlink w:anchor="_Toc531704218" w:tgtFrame="_top">
        <w:r>
          <w:rPr>
            <w:webHidden/>
          </w:rPr>
          <w:fldChar w:fldCharType="begin"/>
        </w:r>
        <w:r>
          <w:rPr>
            <w:webHidden/>
          </w:rPr>
          <w:instrText>PAGEREF _Toc531704218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11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19" w:tgtFrame="_top">
        <w:r>
          <w:rPr>
            <w:rStyle w:val="Style10"/>
            <w:rFonts w:ascii="Liberation Serif" w:hAnsi="Liberation Serif"/>
            <w:w w:val="99"/>
          </w:rPr>
          <w:t>1.2.</w:t>
        </w:r>
      </w:hyperlink>
      <w:hyperlink w:anchor="_Toc531704219" w:tgtFrame="_top">
        <w:r>
          <w:rPr>
            <w:webHidden/>
          </w:rPr>
          <w:fldChar w:fldCharType="begin"/>
        </w:r>
        <w:r>
          <w:rPr>
            <w:webHidden/>
          </w:rPr>
          <w:instrText>PAGEREF _Toc531704219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19" w:tgtFrame="_top">
        <w:r>
          <w:rPr>
            <w:webHidden/>
          </w:rPr>
          <w:fldChar w:fldCharType="begin"/>
        </w:r>
        <w:r>
          <w:rPr>
            <w:webHidden/>
          </w:rPr>
          <w:instrText>PAGEREF _Toc531704219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Описание результатов технического обследования централизованной системы водоотведения</w:t>
        </w:r>
        <w:r>
          <w:rPr>
            <w:webHidden/>
          </w:rPr>
          <w:fldChar w:fldCharType="end"/>
        </w:r>
      </w:hyperlink>
      <w:hyperlink w:anchor="_Toc531704219" w:tgtFrame="_top">
        <w:r>
          <w:rPr>
            <w:webHidden/>
          </w:rPr>
          <w:fldChar w:fldCharType="begin"/>
        </w:r>
        <w:r>
          <w:rPr>
            <w:webHidden/>
          </w:rPr>
          <w:instrText>PAGEREF _Toc531704219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12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20" w:tgtFrame="_top">
        <w:r>
          <w:rPr>
            <w:rStyle w:val="Style10"/>
            <w:rFonts w:ascii="Liberation Serif" w:hAnsi="Liberation Serif"/>
            <w:w w:val="99"/>
          </w:rPr>
          <w:t>1.3.</w:t>
        </w:r>
      </w:hyperlink>
      <w:hyperlink w:anchor="_Toc531704220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_Toc531704220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20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_Toc531704220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Описание технологических зон водоотведения, зон централизованного и нецентрализованного водоотведения</w:t>
        </w:r>
        <w:r>
          <w:rPr>
            <w:webHidden/>
          </w:rPr>
          <w:fldChar w:fldCharType="end"/>
        </w:r>
      </w:hyperlink>
      <w:hyperlink w:anchor="_Toc531704220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_Toc531704220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14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21" w:tgtFrame="_top">
        <w:r>
          <w:rPr>
            <w:rStyle w:val="Style10"/>
            <w:rFonts w:ascii="Liberation Serif" w:hAnsi="Liberation Serif"/>
            <w:w w:val="99"/>
          </w:rPr>
          <w:t>1.4.</w:t>
        </w:r>
      </w:hyperlink>
      <w:hyperlink w:anchor="_Toc531704221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_Toc531704221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21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_Toc531704221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</w:r>
        <w:r>
          <w:rPr>
            <w:webHidden/>
          </w:rPr>
          <w:fldChar w:fldCharType="end"/>
        </w:r>
      </w:hyperlink>
      <w:hyperlink w:anchor="_Toc531704221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_Toc531704221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16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22" w:tgtFrame="_top">
        <w:r>
          <w:rPr>
            <w:rStyle w:val="Style10"/>
            <w:rFonts w:ascii="Liberation Serif" w:hAnsi="Liberation Serif"/>
            <w:w w:val="99"/>
          </w:rPr>
          <w:t>1.5.</w:t>
        </w:r>
      </w:hyperlink>
      <w:hyperlink w:anchor="_Toc531704222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_Toc531704222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22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_Toc531704222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</w:r>
        <w:r>
          <w:rPr>
            <w:webHidden/>
          </w:rPr>
          <w:fldChar w:fldCharType="end"/>
        </w:r>
      </w:hyperlink>
      <w:hyperlink w:anchor="_Toc531704222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_Toc531704222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16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23" w:tgtFrame="_top">
        <w:r>
          <w:rPr>
            <w:rStyle w:val="Style10"/>
            <w:rFonts w:ascii="Liberation Serif" w:hAnsi="Liberation Serif"/>
            <w:w w:val="99"/>
          </w:rPr>
          <w:t>1.6.</w:t>
        </w:r>
      </w:hyperlink>
      <w:hyperlink w:anchor="_Toc531704223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_Toc531704223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23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_Toc531704223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Оценка безопасности и надежности объектов централизованной системы водоотведения и их управляемости</w:t>
        </w:r>
        <w:r>
          <w:rPr>
            <w:webHidden/>
          </w:rPr>
          <w:fldChar w:fldCharType="end"/>
        </w:r>
      </w:hyperlink>
      <w:hyperlink w:anchor="_Toc531704223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_Toc531704223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19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24" w:tgtFrame="_top">
        <w:r>
          <w:rPr>
            <w:rStyle w:val="Style10"/>
            <w:rFonts w:ascii="Liberation Serif" w:hAnsi="Liberation Serif"/>
            <w:w w:val="99"/>
          </w:rPr>
          <w:t>1.7.</w:t>
        </w:r>
      </w:hyperlink>
      <w:hyperlink w:anchor="_Toc531704224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_Toc531704224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24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_Toc531704224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Оценка воздействия сбросов сточных вод через централизованную систему водоотведения на окружающую среду</w:t>
        </w:r>
        <w:r>
          <w:rPr>
            <w:webHidden/>
          </w:rPr>
          <w:fldChar w:fldCharType="end"/>
        </w:r>
      </w:hyperlink>
      <w:hyperlink w:anchor="_Toc531704224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_Toc531704224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21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25" w:tgtFrame="_top">
        <w:r>
          <w:rPr>
            <w:rStyle w:val="Style10"/>
            <w:rFonts w:ascii="Liberation Serif" w:hAnsi="Liberation Serif"/>
            <w:w w:val="99"/>
          </w:rPr>
          <w:t>1.8.</w:t>
        </w:r>
      </w:hyperlink>
      <w:hyperlink w:anchor="_Toc531704225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_Toc531704225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25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_Toc531704225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Описание существующих технических и технологических проблем системы водоотведения</w:t>
        </w:r>
        <w:r>
          <w:rPr>
            <w:webHidden/>
          </w:rPr>
          <w:fldChar w:fldCharType="end"/>
        </w:r>
      </w:hyperlink>
      <w:hyperlink w:anchor="_Toc531704225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_Toc531704225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25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26" w:tgtFrame="_top">
        <w:r>
          <w:rPr>
            <w:rStyle w:val="Style10"/>
            <w:rFonts w:ascii="Liberation Serif" w:hAnsi="Liberation Serif"/>
            <w:w w:val="99"/>
          </w:rPr>
          <w:t>1.9.</w:t>
        </w:r>
      </w:hyperlink>
      <w:hyperlink w:anchor="_Toc531704226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_Toc531704226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26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_Toc531704226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Описание территорий муниципального образования, не охваченных централизованной системой водоотведения</w:t>
        </w:r>
        <w:r>
          <w:rPr>
            <w:webHidden/>
          </w:rPr>
          <w:fldChar w:fldCharType="end"/>
        </w:r>
      </w:hyperlink>
      <w:hyperlink w:anchor="_Toc531704226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_Toc531704226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26</w:t>
        </w:r>
        <w:r>
          <w:rPr>
            <w:webHidden/>
          </w:rPr>
          <w:fldChar w:fldCharType="end"/>
        </w:r>
      </w:hyperlink>
    </w:p>
    <w:p>
      <w:pPr>
        <w:pStyle w:val="16"/>
        <w:tabs>
          <w:tab w:val="right" w:pos="8789" w:leader="none"/>
        </w:tabs>
        <w:rPr/>
      </w:pPr>
      <w:hyperlink w:anchor="_Toc531704227" w:tgtFrame="_top">
        <w:r>
          <w:rPr>
            <w:rStyle w:val="Style10"/>
            <w:rFonts w:ascii="Liberation Serif" w:hAnsi="Liberation Serif"/>
          </w:rPr>
          <w:t>2.</w:t>
        </w:r>
      </w:hyperlink>
      <w:hyperlink w:anchor="_Toc531704227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_Toc531704227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pacing w:val="0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27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_Toc531704227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Балансы сточных вод в системе водоотведения</w:t>
        </w:r>
        <w:r>
          <w:rPr>
            <w:webHidden/>
          </w:rPr>
          <w:fldChar w:fldCharType="end"/>
        </w:r>
      </w:hyperlink>
      <w:hyperlink w:anchor="_Toc531704227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_Toc531704227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28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28" w:tgtFrame="_top">
        <w:r>
          <w:rPr>
            <w:rStyle w:val="Style10"/>
            <w:rFonts w:ascii="Liberation Serif" w:hAnsi="Liberation Serif"/>
            <w:w w:val="99"/>
          </w:rPr>
          <w:t>2.1.</w:t>
        </w:r>
      </w:hyperlink>
      <w:hyperlink w:anchor="_Toc531704228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_Toc531704228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28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_Toc531704228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Баланс поступления сточных вод в централизованную систему водоотведения и отведения стоков по технологическим зонам водоотведения</w:t>
        </w:r>
        <w:r>
          <w:rPr>
            <w:webHidden/>
          </w:rPr>
          <w:fldChar w:fldCharType="end"/>
        </w:r>
      </w:hyperlink>
      <w:hyperlink w:anchor="_Toc531704228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_Toc531704228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28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29" w:tgtFrame="_top">
        <w:r>
          <w:rPr>
            <w:rStyle w:val="Style10"/>
            <w:rFonts w:ascii="Liberation Serif" w:hAnsi="Liberation Serif"/>
            <w:w w:val="99"/>
          </w:rPr>
          <w:t>2.2.</w:t>
        </w:r>
      </w:hyperlink>
      <w:hyperlink w:anchor="_Toc531704229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_Toc531704229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29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_Toc531704229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Оценка фактического притока неорганизованного стока по технологическим зонам водоотведения</w:t>
        </w:r>
        <w:r>
          <w:rPr>
            <w:webHidden/>
          </w:rPr>
          <w:fldChar w:fldCharType="end"/>
        </w:r>
      </w:hyperlink>
      <w:hyperlink w:anchor="_Toc531704229" w:tgtFrame="_top">
        <w:r>
          <w:rPr>
            <w:webHidden/>
          </w:rPr>
          <w:fldChar w:fldCharType="begin"/>
        </w:r>
        <w:r>
          <w:rPr>
            <w:webHidden/>
          </w:rPr>
          <w:instrText>PAGEREF _Toc531704229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28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30" w:tgtFrame="_top">
        <w:r>
          <w:rPr>
            <w:rStyle w:val="Style10"/>
            <w:rFonts w:ascii="Liberation Serif" w:hAnsi="Liberation Serif"/>
            <w:w w:val="99"/>
          </w:rPr>
          <w:t>2.3.</w:t>
        </w:r>
      </w:hyperlink>
      <w:hyperlink w:anchor="_Toc531704230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_Toc531704230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30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_Toc531704230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>
          <w:rPr>
            <w:webHidden/>
          </w:rPr>
          <w:fldChar w:fldCharType="end"/>
        </w:r>
      </w:hyperlink>
      <w:hyperlink w:anchor="_Toc531704230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_Toc531704230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29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31" w:tgtFrame="_top">
        <w:r>
          <w:rPr>
            <w:rStyle w:val="Style10"/>
            <w:rFonts w:ascii="Liberation Serif" w:hAnsi="Liberation Serif"/>
            <w:w w:val="99"/>
          </w:rPr>
          <w:t>2.4.</w:t>
        </w:r>
      </w:hyperlink>
      <w:hyperlink w:anchor="_Toc531704231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_Toc531704231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31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_Toc531704231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</w:t>
        </w:r>
        <w:r>
          <w:rPr>
            <w:webHidden/>
          </w:rPr>
          <w:fldChar w:fldCharType="end"/>
        </w:r>
      </w:hyperlink>
      <w:hyperlink w:anchor="_Toc531704231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_Toc531704231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29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32" w:tgtFrame="_top">
        <w:r>
          <w:rPr>
            <w:rStyle w:val="Style10"/>
            <w:rFonts w:ascii="Liberation Serif" w:hAnsi="Liberation Serif"/>
            <w:w w:val="99"/>
          </w:rPr>
          <w:t>2.5.</w:t>
        </w:r>
      </w:hyperlink>
      <w:hyperlink w:anchor="_Toc531704232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_Toc531704232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32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_Toc531704232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</w:t>
        </w:r>
        <w:r>
          <w:rPr>
            <w:webHidden/>
          </w:rPr>
          <w:fldChar w:fldCharType="end"/>
        </w:r>
      </w:hyperlink>
      <w:hyperlink w:anchor="_Toc531704232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_Toc531704232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30</w:t>
        </w:r>
        <w:r>
          <w:rPr>
            <w:webHidden/>
          </w:rPr>
          <w:fldChar w:fldCharType="end"/>
        </w:r>
      </w:hyperlink>
    </w:p>
    <w:p>
      <w:pPr>
        <w:pStyle w:val="16"/>
        <w:tabs>
          <w:tab w:val="right" w:pos="8789" w:leader="none"/>
        </w:tabs>
        <w:rPr/>
      </w:pPr>
      <w:hyperlink w:anchor="_Toc531704233" w:tgtFrame="_top">
        <w:r>
          <w:rPr>
            <w:rStyle w:val="Style10"/>
            <w:rFonts w:ascii="Liberation Serif" w:hAnsi="Liberation Serif"/>
          </w:rPr>
          <w:t>3.</w:t>
        </w:r>
      </w:hyperlink>
      <w:hyperlink w:anchor="_Toc531704233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_Toc531704233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pacing w:val="0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33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_Toc531704233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Прогноз объема сточных вод</w:t>
        </w:r>
        <w:r>
          <w:rPr>
            <w:webHidden/>
          </w:rPr>
          <w:fldChar w:fldCharType="end"/>
        </w:r>
      </w:hyperlink>
      <w:hyperlink w:anchor="_Toc531704233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_Toc531704233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32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34" w:tgtFrame="_top">
        <w:r>
          <w:rPr>
            <w:rStyle w:val="Style10"/>
            <w:rFonts w:ascii="Liberation Serif" w:hAnsi="Liberation Serif"/>
            <w:w w:val="99"/>
          </w:rPr>
          <w:t>3.1.</w:t>
        </w:r>
      </w:hyperlink>
      <w:hyperlink w:anchor="_Toc531704234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_Toc531704234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34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_Toc531704234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Сведения о фактическом и ожидаемом поступлении сточных вод в централизованную систему водоотведения</w:t>
        </w:r>
        <w:r>
          <w:rPr>
            <w:webHidden/>
          </w:rPr>
          <w:fldChar w:fldCharType="end"/>
        </w:r>
      </w:hyperlink>
      <w:hyperlink w:anchor="_Toc531704234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_Toc531704234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32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35" w:tgtFrame="_top">
        <w:r>
          <w:rPr>
            <w:rStyle w:val="Style10"/>
            <w:rFonts w:ascii="Liberation Serif" w:hAnsi="Liberation Serif"/>
            <w:w w:val="99"/>
          </w:rPr>
          <w:t>3.2.</w:t>
        </w:r>
      </w:hyperlink>
      <w:hyperlink w:anchor="_Toc531704235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_Toc531704235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35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_Toc531704235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Описание структуры централизованной системы водоотведения (эксплуатационные и технологические зоны)</w:t>
        </w:r>
        <w:r>
          <w:rPr>
            <w:webHidden/>
          </w:rPr>
          <w:fldChar w:fldCharType="end"/>
        </w:r>
      </w:hyperlink>
      <w:hyperlink w:anchor="_Toc531704235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_Toc531704235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33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36" w:tgtFrame="_top">
        <w:r>
          <w:rPr>
            <w:rStyle w:val="Style10"/>
            <w:rFonts w:ascii="Liberation Serif" w:hAnsi="Liberation Serif"/>
            <w:w w:val="99"/>
          </w:rPr>
          <w:t>3.3.</w:t>
        </w:r>
      </w:hyperlink>
      <w:hyperlink w:anchor="_Toc531704236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_Toc531704236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36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_Toc531704236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</w:r>
        <w:r>
          <w:rPr>
            <w:webHidden/>
          </w:rPr>
          <w:fldChar w:fldCharType="end"/>
        </w:r>
      </w:hyperlink>
      <w:hyperlink w:anchor="_Toc531704236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_Toc531704236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35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37" w:tgtFrame="_top">
        <w:r>
          <w:rPr>
            <w:rStyle w:val="Style10"/>
            <w:rFonts w:ascii="Liberation Serif" w:hAnsi="Liberation Serif"/>
            <w:w w:val="99"/>
          </w:rPr>
          <w:t>3.4.</w:t>
        </w:r>
      </w:hyperlink>
      <w:hyperlink w:anchor="_Toc531704237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_Toc531704237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37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_Toc531704237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Результаты анализа гидравлических режимов и режимов работы элементов централизованной системы водоотведения</w:t>
        </w:r>
        <w:r>
          <w:rPr>
            <w:webHidden/>
          </w:rPr>
          <w:fldChar w:fldCharType="end"/>
        </w:r>
      </w:hyperlink>
      <w:hyperlink w:anchor="_Toc531704237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_Toc531704237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35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38" w:tgtFrame="_top">
        <w:r>
          <w:rPr>
            <w:rStyle w:val="Style10"/>
            <w:rFonts w:ascii="Liberation Serif" w:hAnsi="Liberation Serif"/>
            <w:w w:val="99"/>
          </w:rPr>
          <w:t>3.5.</w:t>
        </w:r>
      </w:hyperlink>
      <w:hyperlink w:anchor="_Toc531704238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_Toc531704238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38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_Toc531704238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Анализ резервов производственных мощностей очистных сооружений системы водоотведения и возможности расширения зоны их действия</w:t>
        </w:r>
        <w:r>
          <w:rPr>
            <w:webHidden/>
          </w:rPr>
          <w:fldChar w:fldCharType="end"/>
        </w:r>
      </w:hyperlink>
      <w:hyperlink w:anchor="_Toc531704238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_Toc531704238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36</w:t>
        </w:r>
        <w:r>
          <w:rPr>
            <w:webHidden/>
          </w:rPr>
          <w:fldChar w:fldCharType="end"/>
        </w:r>
      </w:hyperlink>
    </w:p>
    <w:p>
      <w:pPr>
        <w:pStyle w:val="16"/>
        <w:tabs>
          <w:tab w:val="right" w:pos="8789" w:leader="none"/>
        </w:tabs>
        <w:rPr/>
      </w:pPr>
      <w:hyperlink w:anchor="_Toc531704239" w:tgtFrame="_top">
        <w:r>
          <w:rPr>
            <w:rStyle w:val="Style10"/>
            <w:rFonts w:ascii="Liberation Serif" w:hAnsi="Liberation Serif"/>
          </w:rPr>
          <w:t>4.</w:t>
        </w:r>
      </w:hyperlink>
      <w:hyperlink w:anchor="_Toc531704239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_Toc531704239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pacing w:val="0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39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_Toc531704239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  </w:r>
        <w:r>
          <w:rPr>
            <w:webHidden/>
          </w:rPr>
          <w:fldChar w:fldCharType="end"/>
        </w:r>
      </w:hyperlink>
      <w:hyperlink w:anchor="_Toc531704239" w:tgtFrame="_top">
        <w:r>
          <w:rPr>
            <w:webHidden/>
          </w:rPr>
          <w:fldChar w:fldCharType="begin"/>
        </w:r>
        <w:r>
          <w:rPr>
            <w:webHidden/>
          </w:rPr>
          <w:instrText>PAGEREF _Toc531704239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39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40" w:tgtFrame="_top">
        <w:r>
          <w:rPr>
            <w:rStyle w:val="Style10"/>
            <w:rFonts w:ascii="Liberation Serif" w:hAnsi="Liberation Serif"/>
            <w:w w:val="99"/>
          </w:rPr>
          <w:t>4.1.</w:t>
        </w:r>
      </w:hyperlink>
      <w:hyperlink w:anchor="_Toc531704240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_Toc531704240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40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_Toc531704240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Основные направления, принципы, задачи и целевые показатели развития централизованной системы водоотведения</w:t>
        </w:r>
        <w:r>
          <w:rPr>
            <w:webHidden/>
          </w:rPr>
          <w:fldChar w:fldCharType="end"/>
        </w:r>
      </w:hyperlink>
      <w:hyperlink w:anchor="_Toc531704240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_Toc531704240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39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41" w:tgtFrame="_top">
        <w:r>
          <w:rPr>
            <w:rStyle w:val="Style10"/>
            <w:rFonts w:ascii="Liberation Serif" w:hAnsi="Liberation Serif"/>
            <w:w w:val="99"/>
          </w:rPr>
          <w:t>4.2.</w:t>
        </w:r>
      </w:hyperlink>
      <w:hyperlink w:anchor="_Toc531704241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_Toc531704241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41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_Toc531704241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>
          <w:rPr>
            <w:webHidden/>
          </w:rPr>
          <w:fldChar w:fldCharType="end"/>
        </w:r>
      </w:hyperlink>
      <w:hyperlink w:anchor="_Toc531704241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_Toc531704241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45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42" w:tgtFrame="_top">
        <w:r>
          <w:rPr>
            <w:rStyle w:val="Style10"/>
            <w:rFonts w:ascii="Liberation Serif" w:hAnsi="Liberation Serif"/>
            <w:w w:val="99"/>
          </w:rPr>
          <w:t>4.3.</w:t>
        </w:r>
      </w:hyperlink>
      <w:hyperlink w:anchor="_Toc531704242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_Toc531704242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42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_Toc531704242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Технические обоснования основных мероприятий по реализации схем водоотведения</w:t>
        </w:r>
        <w:r>
          <w:rPr>
            <w:webHidden/>
          </w:rPr>
          <w:fldChar w:fldCharType="end"/>
        </w:r>
      </w:hyperlink>
      <w:hyperlink w:anchor="_Toc531704242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_Toc531704242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47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43" w:tgtFrame="_top">
        <w:r>
          <w:rPr>
            <w:rStyle w:val="Style10"/>
            <w:rFonts w:ascii="Liberation Serif" w:hAnsi="Liberation Serif"/>
            <w:w w:val="99"/>
          </w:rPr>
          <w:t>4.4.</w:t>
        </w:r>
      </w:hyperlink>
      <w:hyperlink w:anchor="_Toc531704243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_Toc531704243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43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_Toc531704243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>
          <w:rPr>
            <w:webHidden/>
          </w:rPr>
          <w:fldChar w:fldCharType="end"/>
        </w:r>
      </w:hyperlink>
      <w:hyperlink w:anchor="_Toc531704243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_Toc531704243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49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44" w:tgtFrame="_top">
        <w:r>
          <w:rPr>
            <w:rStyle w:val="Style10"/>
            <w:rFonts w:ascii="Liberation Serif" w:hAnsi="Liberation Serif"/>
            <w:w w:val="99"/>
          </w:rPr>
          <w:t>4.5.</w:t>
        </w:r>
      </w:hyperlink>
      <w:hyperlink w:anchor="_Toc531704244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_Toc531704244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44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_Toc531704244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</w:r>
        <w:r>
          <w:rPr>
            <w:webHidden/>
          </w:rPr>
          <w:fldChar w:fldCharType="end"/>
        </w:r>
      </w:hyperlink>
      <w:hyperlink w:anchor="_Toc531704244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_Toc531704244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55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45" w:tgtFrame="_top">
        <w:r>
          <w:rPr>
            <w:rStyle w:val="Style10"/>
            <w:rFonts w:ascii="Liberation Serif" w:hAnsi="Liberation Serif"/>
            <w:w w:val="99"/>
          </w:rPr>
          <w:t>4.6.</w:t>
        </w:r>
      </w:hyperlink>
      <w:hyperlink w:anchor="_Toc531704245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_Toc531704245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45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_Toc531704245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</w:r>
        <w:r>
          <w:rPr>
            <w:webHidden/>
          </w:rPr>
          <w:fldChar w:fldCharType="end"/>
        </w:r>
      </w:hyperlink>
      <w:hyperlink w:anchor="_Toc531704245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_Toc531704245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56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46" w:tgtFrame="_top">
        <w:r>
          <w:rPr>
            <w:rStyle w:val="Style10"/>
            <w:rFonts w:ascii="Liberation Serif" w:hAnsi="Liberation Serif"/>
            <w:w w:val="99"/>
          </w:rPr>
          <w:t>4.7.</w:t>
        </w:r>
      </w:hyperlink>
      <w:hyperlink w:anchor="_Toc531704246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_Toc531704246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46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_Toc531704246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Границы и характеристики охранных зон сетей и сооружений централизованной системы водоотведения</w:t>
        </w:r>
        <w:r>
          <w:rPr>
            <w:webHidden/>
          </w:rPr>
          <w:fldChar w:fldCharType="end"/>
        </w:r>
      </w:hyperlink>
      <w:hyperlink w:anchor="_Toc531704246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_Toc531704246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57</w:t>
        </w:r>
        <w:r>
          <w:rPr>
            <w:webHidden/>
          </w:rPr>
          <w:fldChar w:fldCharType="end"/>
        </w:r>
      </w:hyperlink>
    </w:p>
    <w:p>
      <w:pPr>
        <w:pStyle w:val="16"/>
        <w:tabs>
          <w:tab w:val="right" w:pos="8789" w:leader="none"/>
        </w:tabs>
        <w:rPr/>
      </w:pPr>
      <w:hyperlink w:anchor="_Toc531704247" w:tgtFrame="_top">
        <w:r>
          <w:rPr>
            <w:rStyle w:val="Style10"/>
            <w:rFonts w:ascii="Liberation Serif" w:hAnsi="Liberation Serif"/>
          </w:rPr>
          <w:t>5.</w:t>
        </w:r>
      </w:hyperlink>
      <w:hyperlink w:anchor="_Toc531704247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_Toc531704247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pacing w:val="0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47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_Toc531704247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Экологические аспекты мероприятий по строительству и реконструкции объектов централизованной системы водоотведения</w:t>
        </w:r>
        <w:r>
          <w:rPr>
            <w:webHidden/>
          </w:rPr>
          <w:fldChar w:fldCharType="end"/>
        </w:r>
      </w:hyperlink>
      <w:hyperlink w:anchor="_Toc531704247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_Toc531704247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59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48" w:tgtFrame="_top">
        <w:r>
          <w:rPr>
            <w:rStyle w:val="Style10"/>
            <w:rFonts w:ascii="Liberation Serif" w:hAnsi="Liberation Serif"/>
            <w:w w:val="99"/>
          </w:rPr>
          <w:t>5.1.</w:t>
        </w:r>
      </w:hyperlink>
      <w:hyperlink w:anchor="_Toc531704248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_Toc531704248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48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_Toc531704248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</w:r>
        <w:r>
          <w:rPr>
            <w:webHidden/>
          </w:rPr>
          <w:fldChar w:fldCharType="end"/>
        </w:r>
      </w:hyperlink>
      <w:hyperlink w:anchor="_Toc531704248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_Toc531704248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59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49" w:tgtFrame="_top">
        <w:r>
          <w:rPr>
            <w:rStyle w:val="Style10"/>
            <w:rFonts w:ascii="Liberation Serif" w:hAnsi="Liberation Serif"/>
            <w:w w:val="99"/>
          </w:rPr>
          <w:t>5.2.</w:t>
        </w:r>
      </w:hyperlink>
      <w:hyperlink w:anchor="_Toc531704249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_Toc531704249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49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_Toc531704249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Сведения о применении методов, безопасных для окружающей среды, при утилизации осадков сточных вод</w:t>
        </w:r>
        <w:r>
          <w:rPr>
            <w:webHidden/>
          </w:rPr>
          <w:fldChar w:fldCharType="end"/>
        </w:r>
      </w:hyperlink>
      <w:hyperlink w:anchor="_Toc531704249" w:tgtFrame="_top">
        <w:r>
          <w:rPr>
            <w:webHidden/>
          </w:rPr>
          <w:fldChar w:fldCharType="begin"/>
        </w:r>
        <w:r>
          <w:rPr>
            <w:webHidden/>
          </w:rPr>
          <w:instrText>PAGEREF _Toc531704249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62</w:t>
        </w:r>
        <w:r>
          <w:rPr>
            <w:webHidden/>
          </w:rPr>
          <w:fldChar w:fldCharType="end"/>
        </w:r>
      </w:hyperlink>
    </w:p>
    <w:p>
      <w:pPr>
        <w:pStyle w:val="16"/>
        <w:tabs>
          <w:tab w:val="right" w:pos="8789" w:leader="none"/>
        </w:tabs>
        <w:rPr/>
      </w:pPr>
      <w:hyperlink w:anchor="_Toc531704250" w:tgtFrame="_top">
        <w:r>
          <w:rPr>
            <w:rStyle w:val="Style10"/>
            <w:rFonts w:ascii="Liberation Serif" w:hAnsi="Liberation Serif"/>
          </w:rPr>
          <w:t>6.</w:t>
        </w:r>
      </w:hyperlink>
      <w:hyperlink w:anchor="_Toc531704250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_Toc531704250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pacing w:val="0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50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_Toc531704250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>
          <w:rPr>
            <w:webHidden/>
          </w:rPr>
          <w:fldChar w:fldCharType="end"/>
        </w:r>
      </w:hyperlink>
      <w:hyperlink w:anchor="_Toc531704250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_Toc531704250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63</w:t>
        </w:r>
        <w:r>
          <w:rPr>
            <w:webHidden/>
          </w:rPr>
          <w:fldChar w:fldCharType="end"/>
        </w:r>
      </w:hyperlink>
    </w:p>
    <w:p>
      <w:pPr>
        <w:pStyle w:val="16"/>
        <w:tabs>
          <w:tab w:val="right" w:pos="8789" w:leader="none"/>
        </w:tabs>
        <w:rPr/>
      </w:pPr>
      <w:hyperlink w:anchor="_Toc531704251" w:tgtFrame="_top">
        <w:r>
          <w:rPr>
            <w:rStyle w:val="Style10"/>
            <w:rFonts w:ascii="Liberation Serif" w:hAnsi="Liberation Serif"/>
          </w:rPr>
          <w:t>7.</w:t>
        </w:r>
      </w:hyperlink>
      <w:hyperlink w:anchor="_Toc531704251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_Toc531704251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pacing w:val="0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51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_Toc531704251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Целевые показатели развития централизованных систем водоотведения</w:t>
        </w:r>
        <w:r>
          <w:rPr>
            <w:webHidden/>
          </w:rPr>
          <w:fldChar w:fldCharType="end"/>
        </w:r>
      </w:hyperlink>
      <w:hyperlink w:anchor="_Toc531704251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_Toc531704251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68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52" w:tgtFrame="_top">
        <w:r>
          <w:rPr>
            <w:rStyle w:val="Style10"/>
            <w:rFonts w:ascii="Liberation Serif" w:hAnsi="Liberation Serif"/>
            <w:w w:val="99"/>
          </w:rPr>
          <w:t>7.1.</w:t>
        </w:r>
      </w:hyperlink>
      <w:hyperlink w:anchor="_Toc531704252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_Toc531704252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52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_Toc531704252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Показатели надежности и бесперебойности водоотведения</w:t>
        </w:r>
        <w:r>
          <w:rPr>
            <w:webHidden/>
          </w:rPr>
          <w:fldChar w:fldCharType="end"/>
        </w:r>
      </w:hyperlink>
      <w:hyperlink w:anchor="_Toc531704252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_Toc531704252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68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53" w:tgtFrame="_top">
        <w:r>
          <w:rPr>
            <w:rStyle w:val="Style10"/>
            <w:rFonts w:ascii="Liberation Serif" w:hAnsi="Liberation Serif"/>
            <w:w w:val="99"/>
          </w:rPr>
          <w:t>7.2.</w:t>
        </w:r>
      </w:hyperlink>
      <w:hyperlink w:anchor="_Toc531704253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_Toc531704253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53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_Toc531704253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Показатели качества обслуживания клиентов</w:t>
        </w:r>
        <w:r>
          <w:rPr>
            <w:webHidden/>
          </w:rPr>
          <w:fldChar w:fldCharType="end"/>
        </w:r>
      </w:hyperlink>
      <w:hyperlink w:anchor="_Toc531704253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_Toc531704253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68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54" w:tgtFrame="_top">
        <w:r>
          <w:rPr>
            <w:rStyle w:val="Style10"/>
            <w:rFonts w:ascii="Liberation Serif" w:hAnsi="Liberation Serif"/>
            <w:w w:val="99"/>
          </w:rPr>
          <w:t>7.3.</w:t>
        </w:r>
      </w:hyperlink>
      <w:hyperlink w:anchor="_Toc531704254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_Toc531704254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54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_Toc531704254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Показатели качества очистки сточных вод</w:t>
        </w:r>
        <w:r>
          <w:rPr>
            <w:webHidden/>
          </w:rPr>
          <w:fldChar w:fldCharType="end"/>
        </w:r>
      </w:hyperlink>
      <w:hyperlink w:anchor="_Toc531704254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_Toc531704254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69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55" w:tgtFrame="_top">
        <w:r>
          <w:rPr>
            <w:rStyle w:val="Style10"/>
            <w:rFonts w:ascii="Liberation Serif" w:hAnsi="Liberation Serif"/>
            <w:w w:val="99"/>
          </w:rPr>
          <w:t>7.4.</w:t>
        </w:r>
      </w:hyperlink>
      <w:hyperlink w:anchor="_Toc531704255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_Toc531704255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55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_Toc531704255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Показатели эффективности использования ресурсов при транспортировке сточных вод</w:t>
        </w:r>
        <w:r>
          <w:rPr>
            <w:webHidden/>
          </w:rPr>
          <w:fldChar w:fldCharType="end"/>
        </w:r>
      </w:hyperlink>
      <w:hyperlink w:anchor="_Toc531704255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_Toc531704255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69</w:t>
        </w:r>
        <w:r>
          <w:rPr>
            <w:webHidden/>
          </w:rPr>
          <w:fldChar w:fldCharType="end"/>
        </w:r>
      </w:hyperlink>
    </w:p>
    <w:p>
      <w:pPr>
        <w:pStyle w:val="24"/>
        <w:tabs>
          <w:tab w:val="right" w:pos="9072" w:leader="none"/>
        </w:tabs>
        <w:rPr/>
      </w:pPr>
      <w:hyperlink w:anchor="_Toc531704256" w:tgtFrame="_top">
        <w:r>
          <w:rPr>
            <w:rStyle w:val="Style10"/>
            <w:rFonts w:ascii="Liberation Serif" w:hAnsi="Liberation Serif"/>
            <w:w w:val="99"/>
          </w:rPr>
          <w:t>7.5.</w:t>
        </w:r>
      </w:hyperlink>
      <w:hyperlink w:anchor="_Toc531704256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_Toc531704256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56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_Toc531704256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</w:r>
        <w:r>
          <w:rPr>
            <w:webHidden/>
          </w:rPr>
          <w:fldChar w:fldCharType="end"/>
        </w:r>
      </w:hyperlink>
      <w:hyperlink w:anchor="_Toc531704256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_Toc531704256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69</w:t>
        </w:r>
        <w:r>
          <w:rPr>
            <w:webHidden/>
          </w:rPr>
          <w:fldChar w:fldCharType="end"/>
        </w:r>
      </w:hyperlink>
    </w:p>
    <w:p>
      <w:pPr>
        <w:pStyle w:val="16"/>
        <w:tabs>
          <w:tab w:val="right" w:pos="8789" w:leader="none"/>
        </w:tabs>
        <w:rPr/>
      </w:pPr>
      <w:hyperlink w:anchor="_Toc531704257" w:tgtFrame="_top">
        <w:r>
          <w:rPr>
            <w:rStyle w:val="Style10"/>
            <w:rFonts w:ascii="Liberation Serif" w:hAnsi="Liberation Serif"/>
          </w:rPr>
          <w:t>8.</w:t>
        </w:r>
      </w:hyperlink>
      <w:hyperlink w:anchor="_Toc531704257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_Toc531704257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pacing w:val="0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57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_Toc531704257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</w:r>
        <w:r>
          <w:rPr>
            <w:webHidden/>
          </w:rPr>
          <w:fldChar w:fldCharType="end"/>
        </w:r>
      </w:hyperlink>
      <w:hyperlink w:anchor="_Toc531704257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_Toc531704257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71</w:t>
        </w:r>
        <w:r>
          <w:rPr>
            <w:webHidden/>
          </w:rPr>
          <w:fldChar w:fldCharType="end"/>
        </w:r>
      </w:hyperlink>
    </w:p>
    <w:p>
      <w:pPr>
        <w:pStyle w:val="16"/>
        <w:tabs>
          <w:tab w:val="right" w:pos="8789" w:leader="none"/>
        </w:tabs>
        <w:rPr/>
      </w:pPr>
      <w:hyperlink w:anchor="_Toc531704258" w:tgtFrame="_top">
        <w:r>
          <w:rPr>
            <w:rStyle w:val="Style10"/>
            <w:rFonts w:ascii="Liberation Serif" w:hAnsi="Liberation Serif"/>
          </w:rPr>
          <w:t>9.</w:t>
        </w:r>
      </w:hyperlink>
      <w:hyperlink w:anchor="_Toc531704258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_Toc531704258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  <w:spacing w:val="0"/>
            <w:sz w:val="22"/>
            <w:lang w:eastAsia="ru-RU"/>
          </w:rPr>
          <w:tab/>
        </w:r>
        <w:r>
          <w:rPr>
            <w:webHidden/>
          </w:rPr>
          <w:fldChar w:fldCharType="end"/>
        </w:r>
      </w:hyperlink>
      <w:hyperlink w:anchor="_Toc531704258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_Toc531704258 \h</w:instrText>
        </w:r>
        <w:r>
          <w:rPr>
            <w:webHidden/>
          </w:rPr>
          <w:fldChar w:fldCharType="separate"/>
        </w:r>
        <w:r>
          <w:rPr>
            <w:rStyle w:val="Style10"/>
            <w:rFonts w:ascii="Liberation Serif" w:hAnsi="Liberation Serif"/>
          </w:rPr>
          <w:t>Электронное моделирование</w:t>
        </w:r>
        <w:r>
          <w:rPr>
            <w:webHidden/>
          </w:rPr>
          <w:fldChar w:fldCharType="end"/>
        </w:r>
      </w:hyperlink>
      <w:hyperlink w:anchor="_Toc531704258" w:tgtFrame="_top">
        <w:r>
          <w:rPr>
            <w:webHidden/>
          </w:rPr>
          <w:fldChar w:fldCharType="begin"/>
        </w:r>
        <w:r>
          <w:rPr>
            <w:webHidden/>
          </w:rPr>
          <w:instrText>PAGEREF _Toc531704258 \h</w:instrText>
        </w:r>
        <w:r>
          <w:rPr>
            <w:webHidden/>
          </w:rPr>
          <w:fldChar w:fldCharType="separate"/>
        </w:r>
        <w:r>
          <w:rPr>
            <w:rStyle w:val="Style9"/>
            <w:rFonts w:ascii="Liberation Serif" w:hAnsi="Liberation Serif"/>
          </w:rPr>
          <w:tab/>
          <w:t>72</w:t>
        </w:r>
        <w:r>
          <w:rPr>
            <w:webHidden/>
          </w:rPr>
          <w:fldChar w:fldCharType="end"/>
        </w:r>
      </w:hyperlink>
    </w:p>
    <w:p>
      <w:pPr>
        <w:pStyle w:val="Style40"/>
        <w:tabs>
          <w:tab w:val="clear" w:pos="709"/>
        </w:tabs>
        <w:ind w:left="709" w:right="428" w:hanging="709"/>
        <w:rPr/>
      </w:pPr>
      <w:r>
        <w:rPr/>
      </w:r>
      <w:r>
        <w:rPr/>
        <w:fldChar w:fldCharType="end"/>
      </w:r>
    </w:p>
    <w:p>
      <w:pPr>
        <w:pStyle w:val="Style40"/>
        <w:tabs>
          <w:tab w:val="clear" w:pos="709"/>
          <w:tab w:val="left" w:pos="567" w:leader="none"/>
          <w:tab w:val="left" w:pos="9781" w:leader="none"/>
        </w:tabs>
        <w:ind w:right="-1" w:hanging="284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szCs w:val="24"/>
        </w:rPr>
      </w:pPr>
      <w:r>
        <w:rPr>
          <w:rFonts w:ascii="Liberation Serif" w:hAnsi="Liberation Serif"/>
          <w:szCs w:val="24"/>
        </w:rPr>
      </w:r>
      <w:r>
        <w:br w:type="page"/>
      </w:r>
    </w:p>
    <w:p>
      <w:pPr>
        <w:pStyle w:val="111"/>
        <w:numPr>
          <w:ilvl w:val="0"/>
          <w:numId w:val="0"/>
        </w:numPr>
        <w:tabs>
          <w:tab w:val="clear" w:pos="709"/>
          <w:tab w:val="left" w:pos="-559" w:leader="none"/>
        </w:tabs>
        <w:ind w:left="701" w:hanging="600"/>
        <w:rPr>
          <w:rFonts w:ascii="Liberation Serif" w:hAnsi="Liberation Serif"/>
        </w:rPr>
      </w:pPr>
      <w:bookmarkStart w:id="33" w:name="_Toc390695976"/>
      <w:bookmarkStart w:id="34" w:name="_Toc390696188"/>
      <w:bookmarkStart w:id="35" w:name="_Toc401067968"/>
      <w:bookmarkStart w:id="36" w:name="_Toc531598938"/>
      <w:bookmarkStart w:id="37" w:name="_Toc531704215"/>
      <w:r>
        <w:rPr>
          <w:rFonts w:ascii="Liberation Serif" w:hAnsi="Liberation Serif"/>
        </w:rPr>
        <w:t>Введение</w:t>
      </w:r>
      <w:bookmarkEnd w:id="33"/>
      <w:bookmarkEnd w:id="34"/>
      <w:bookmarkEnd w:id="35"/>
      <w:bookmarkEnd w:id="36"/>
      <w:bookmarkEnd w:id="37"/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Водоотведение – это прием, транспортировка и очистка сточных вод с использованием централизованной системы водоотведения.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Проектирование систем водоотведения представляет собой комплексную задачу, от правильного решения которой во многом зависят масштабы необходимых капитальных вложений. Прогноз спроса на услуги водоотведения основан на прогнозировании развития муниципального образования, в первую очередь его градостроительной и промышленной деятельности, определенной генеральным планом.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Схема водоотведения Камышловского городского округа на период до 2034 г. разработана в соответствии с:</w:t>
      </w:r>
    </w:p>
    <w:p>
      <w:pPr>
        <w:pStyle w:val="Style65"/>
        <w:numPr>
          <w:ilvl w:val="0"/>
          <w:numId w:val="4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>Градостроительным кодексом РФ  от  29.12.2004  №190-ФЗ  с  изменениями  и дополнениями;</w:t>
      </w:r>
    </w:p>
    <w:p>
      <w:pPr>
        <w:pStyle w:val="Style65"/>
        <w:numPr>
          <w:ilvl w:val="0"/>
          <w:numId w:val="4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>«Правилами  разработки  и  утверждения  схем  водоснабжения  и  водоотведения»  и «Требования к содержанию схем водоснабжения и водоотведения», утвержденные постановлением Правительства РФ №782 от 05 сентября 2013 года;</w:t>
      </w:r>
    </w:p>
    <w:p>
      <w:pPr>
        <w:pStyle w:val="Style65"/>
        <w:numPr>
          <w:ilvl w:val="0"/>
          <w:numId w:val="4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>Федеральным Законом Российской Федерации от 7 декабря 2011 года №416-ФЗ «О водоснабжении и водоотведении»;</w:t>
      </w:r>
    </w:p>
    <w:p>
      <w:pPr>
        <w:pStyle w:val="Style65"/>
        <w:numPr>
          <w:ilvl w:val="0"/>
          <w:numId w:val="4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>Постановлением Правительства Российской Федерации от 5 сентября 2013 года №782 «О схемах водоснабжения и водоотведения» (включая «Правила разработки и утверждения схем водоснабжения и водоотведения» и «Требования к схемам водоснабжения и водоотведения»);</w:t>
      </w:r>
    </w:p>
    <w:p>
      <w:pPr>
        <w:pStyle w:val="Style65"/>
        <w:numPr>
          <w:ilvl w:val="0"/>
          <w:numId w:val="4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>Федеральным Законом Российской Федерации от 23 ноября 2009 года №261-ФЗ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</w:r>
    </w:p>
    <w:p>
      <w:pPr>
        <w:pStyle w:val="Style65"/>
        <w:numPr>
          <w:ilvl w:val="0"/>
          <w:numId w:val="4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>СП 131.13330.2012 Строительная климатология. Актуализированная редакция СНиП 23-01-99*;</w:t>
      </w:r>
    </w:p>
    <w:p>
      <w:pPr>
        <w:pStyle w:val="Style65"/>
        <w:numPr>
          <w:ilvl w:val="0"/>
          <w:numId w:val="4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>СП 32.13330.2012 Канализация. Наружные сети и сооружения. Актуализированная редакция СНиП 2.04.03-85</w:t>
      </w:r>
    </w:p>
    <w:p>
      <w:pPr>
        <w:pStyle w:val="Style65"/>
        <w:numPr>
          <w:ilvl w:val="0"/>
          <w:numId w:val="4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>«Правилами технической эксплуатации систем и сооружений коммунального водоснабжения и канализации», утвержденными приказом Госстроя РФ №168 от 30.12.1999г.;</w:t>
      </w:r>
    </w:p>
    <w:p>
      <w:pPr>
        <w:pStyle w:val="Style65"/>
        <w:numPr>
          <w:ilvl w:val="0"/>
          <w:numId w:val="4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>«Правилами холодного водоснабжения и водоотведения», утверждёнными Постановлением Правительства РФ от 29.07.2013 г. № 644;</w:t>
      </w:r>
    </w:p>
    <w:p>
      <w:pPr>
        <w:pStyle w:val="Style65"/>
        <w:numPr>
          <w:ilvl w:val="0"/>
          <w:numId w:val="4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>«Правилами организации коммерческого учёта воды, сточных вод», утверждёнными Постановлением Правительства РФ от 04.089.2013 г. № 776.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Основные цели и задачи схемы водоотведения: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/>
      </w:pPr>
      <w:r>
        <w:rPr>
          <w:rStyle w:val="Style9"/>
          <w:rFonts w:ascii="Liberation Serif" w:hAnsi="Liberation Serif"/>
        </w:rPr>
        <w:t>определение долгосрочной перспективы развития системы водоотведения, обеспечения надежного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водоотведения и внедрения энергосберегающих технологий;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/>
      </w:pPr>
      <w:r>
        <w:rPr>
          <w:rStyle w:val="Style9"/>
          <w:rFonts w:ascii="Liberation Serif" w:hAnsi="Liberation Serif"/>
        </w:rPr>
        <w:t>определение возможности подключения к сетям водоотведения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/>
      </w:pPr>
      <w:r>
        <w:rPr>
          <w:rStyle w:val="Style9"/>
          <w:rFonts w:ascii="Liberation Serif" w:hAnsi="Liberation Serif"/>
        </w:rPr>
        <w:t>повышение надежности работы систем водоотведения в соответствии с нормативными требованиями;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/>
      </w:pPr>
      <w:r>
        <w:rPr>
          <w:rStyle w:val="Style9"/>
          <w:rFonts w:ascii="Liberation Serif" w:hAnsi="Liberation Serif"/>
        </w:rPr>
        <w:t>минимизация затрат на водоотведение в расчете на каждого потребителя в долгосрочной перспективе;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/>
      </w:pPr>
      <w:r>
        <w:rPr>
          <w:rStyle w:val="Style9"/>
          <w:rFonts w:ascii="Liberation Serif" w:hAnsi="Liberation Serif"/>
        </w:rPr>
        <w:t>обеспечение жителей сельского поселения водоотведением;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/>
      </w:pPr>
      <w:r>
        <w:rPr>
          <w:rStyle w:val="Style9"/>
          <w:rFonts w:ascii="Liberation Serif" w:hAnsi="Liberation Serif"/>
        </w:rPr>
        <w:t>строительство новых объектов производственного и другого назначения, используемых в сфере водоснабжения и водоотведения сельского поселения;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/>
      </w:pPr>
      <w:r>
        <w:rPr>
          <w:rStyle w:val="Style9"/>
          <w:rFonts w:ascii="Liberation Serif" w:hAnsi="Liberation Serif"/>
        </w:rPr>
        <w:t>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объектов.</w:t>
      </w:r>
    </w:p>
    <w:p>
      <w:pPr>
        <w:pStyle w:val="Style65"/>
        <w:numPr>
          <w:ilvl w:val="0"/>
          <w:numId w:val="0"/>
        </w:numPr>
        <w:tabs>
          <w:tab w:val="clear" w:pos="-7440"/>
          <w:tab w:val="left" w:pos="-425" w:leader="none"/>
          <w:tab w:val="left" w:pos="567" w:leader="none"/>
        </w:tabs>
        <w:ind w:left="567" w:hanging="360"/>
        <w:rPr>
          <w:rFonts w:ascii="Liberation Serif" w:hAnsi="Liberation Serif"/>
        </w:rPr>
      </w:pPr>
      <w:r>
        <w:rPr>
          <w:rFonts w:ascii="Liberation Serif" w:hAnsi="Liberation Serif"/>
        </w:rPr>
      </w:r>
      <w:r>
        <w:br w:type="page"/>
      </w:r>
    </w:p>
    <w:p>
      <w:pPr>
        <w:pStyle w:val="111"/>
        <w:numPr>
          <w:ilvl w:val="0"/>
          <w:numId w:val="0"/>
        </w:numPr>
        <w:tabs>
          <w:tab w:val="clear" w:pos="709"/>
          <w:tab w:val="left" w:pos="-559" w:leader="none"/>
        </w:tabs>
        <w:ind w:left="701" w:hanging="600"/>
        <w:rPr>
          <w:rFonts w:ascii="Liberation Serif" w:hAnsi="Liberation Serif"/>
        </w:rPr>
      </w:pPr>
      <w:bookmarkStart w:id="38" w:name="_Toc531598939"/>
      <w:bookmarkStart w:id="39" w:name="_Toc531704216"/>
      <w:r>
        <w:rPr>
          <w:rFonts w:ascii="Liberation Serif" w:hAnsi="Liberation Serif"/>
        </w:rPr>
        <w:t>Общие сведения</w:t>
      </w:r>
      <w:bookmarkEnd w:id="38"/>
      <w:bookmarkEnd w:id="39"/>
    </w:p>
    <w:p>
      <w:pPr>
        <w:pStyle w:val="Style69"/>
        <w:rPr/>
      </w:pPr>
      <w:bookmarkStart w:id="40" w:name="_Toc341622561"/>
      <w:bookmarkStart w:id="41" w:name="_Toc343876982"/>
      <w:bookmarkEnd w:id="40"/>
      <w:bookmarkEnd w:id="41"/>
      <w:r>
        <w:rPr>
          <w:rStyle w:val="Style9"/>
          <w:rFonts w:ascii="Liberation Serif" w:hAnsi="Liberation Serif"/>
        </w:rPr>
        <w:t>Город Камышлов с населением по данным на 10.01.2017 – 26 538 человек, является административным центром Камышловского городского округа и расположен в Западной Сибири, на левом берегу р. Пышма (бассейн Оби), при впадении в неё р. Камышловка, в 136 км к востоку от Екатеринбурга. Общая площадь составляет 52 км</w:t>
      </w:r>
      <w:r>
        <w:rPr>
          <w:rStyle w:val="Style9"/>
          <w:rFonts w:ascii="Liberation Serif" w:hAnsi="Liberation Serif"/>
          <w:position w:val="24"/>
          <w:sz w:val="16"/>
        </w:rPr>
        <w:t>2</w:t>
      </w:r>
      <w:r>
        <w:rPr>
          <w:rStyle w:val="Style9"/>
          <w:rFonts w:ascii="Liberation Serif" w:hAnsi="Liberation Serif"/>
        </w:rPr>
        <w:t xml:space="preserve">. Расположение городского округа показано на рисунке </w:t>
      </w:r>
      <w:r>
        <w:rPr>
          <w:rStyle w:val="Style9"/>
          <w:rFonts w:ascii="Liberation Serif" w:hAnsi="Liberation Serif"/>
        </w:rPr>
        <w:fldChar w:fldCharType="begin"/>
      </w:r>
      <w:r>
        <w:rPr>
          <w:rStyle w:val="Style9"/>
          <w:rFonts w:ascii="Liberation Serif" w:hAnsi="Liberation Serif"/>
        </w:rPr>
        <w:instrText> REF _Ref516821766 \h </w:instrText>
      </w:r>
      <w:r>
        <w:rPr>
          <w:rStyle w:val="Style9"/>
          <w:rFonts w:ascii="Liberation Serif" w:hAnsi="Liberation Serif"/>
        </w:rPr>
        <w:fldChar w:fldCharType="separate"/>
      </w:r>
      <w:r>
        <w:rPr>
          <w:rStyle w:val="Style9"/>
          <w:rFonts w:ascii="Liberation Serif" w:hAnsi="Liberation Serif"/>
        </w:rPr>
        <w:t>Рисунок 1</w:t>
      </w:r>
      <w:r>
        <w:rPr>
          <w:rStyle w:val="Style9"/>
          <w:rFonts w:ascii="Liberation Serif" w:hAnsi="Liberation Serif"/>
        </w:rPr>
        <w:fldChar w:fldCharType="end"/>
      </w:r>
      <w:r>
        <w:rPr>
          <w:rStyle w:val="Style9"/>
          <w:rFonts w:ascii="Liberation Serif" w:hAnsi="Liberation Serif"/>
        </w:rPr>
        <w:t>.</w:t>
      </w:r>
      <w:r>
        <w:rPr>
          <w:rStyle w:val="Style9"/>
          <w:rFonts w:ascii="Liberation Serif" w:hAnsi="Liberation Serif"/>
          <w:vanish/>
        </w:rPr>
        <w:t>Рисунок</w:t>
      </w:r>
    </w:p>
    <w:p>
      <w:pPr>
        <w:pStyle w:val="Style69"/>
        <w:rPr>
          <w:rFonts w:ascii="Liberation Serif" w:hAnsi="Liberation Serif"/>
        </w:rPr>
      </w:pPr>
      <w:r>
        <w:rPr>
          <w:rFonts w:ascii="Liberation Serif" w:hAnsi="Liberation Serif"/>
        </w:rPr>
        <w:t>Климатические условия города Камышлова характерны для условий Среднего Урала. Лето теплое, зима продолжительная, холодная; в весенний и осенний период погода неустойчива. Продолжительность зимнего периода около 5 месяцев, устойчивый снежный покров образуется в среднем 11 ноября. Средние месячные температуры изменяются от плюс 18,1 °С в июле до минус 16,8 °С в январе. Среднегодовая температура воздуха равна плюс 1,4 °С. Абсолютный максимум температуры отмечен в июле и достигает плюс 40 °С, абсолютный минимум наблюдается в январе минус 46 °С. Безморозный период продолжается 115 дней.</w:t>
      </w:r>
    </w:p>
    <w:p>
      <w:pPr>
        <w:pStyle w:val="Style69"/>
        <w:rPr>
          <w:rFonts w:ascii="Liberation Serif" w:hAnsi="Liberation Serif"/>
        </w:rPr>
      </w:pPr>
      <w:r>
        <w:rPr>
          <w:rFonts w:ascii="Liberation Serif" w:hAnsi="Liberation Serif"/>
        </w:rPr>
        <w:t>Условно в городском округе можно выделить 2 промышленные зоны: Северный и Южный районы</w:t>
      </w:r>
    </w:p>
    <w:p>
      <w:pPr>
        <w:pStyle w:val="Style69"/>
        <w:rPr>
          <w:rFonts w:ascii="Liberation Serif" w:hAnsi="Liberation Serif"/>
        </w:rPr>
      </w:pPr>
      <w:r>
        <w:rPr>
          <w:rFonts w:ascii="Liberation Serif" w:hAnsi="Liberation Serif"/>
        </w:rPr>
        <w:t>Северный промышленный район объединяет площадки завода ОАО «Камышловский завод «Урализолятор», КЭТЗ-филиал ОАО «ЭЛТЕЗА», ООО «НЕО Консалтинг групп – проект», площадка ООО «Уральская диатомитовая компания», железнодорожное хозяйство ОАО «РЖД».</w:t>
      </w:r>
    </w:p>
    <w:p>
      <w:pPr>
        <w:pStyle w:val="Style69"/>
        <w:rPr>
          <w:rFonts w:ascii="Liberation Serif" w:hAnsi="Liberation Serif"/>
        </w:rPr>
      </w:pPr>
      <w:r>
        <w:rPr>
          <w:rFonts w:ascii="Liberation Serif" w:hAnsi="Liberation Serif"/>
        </w:rPr>
        <w:t>Южный промышленный район включает в себя ООО «Камышловский кожевенный завод», площадка ООО «К-777», деревообрабатывающие предприятия, мастерские, склады стройматериалов, продуктовые склады и предприятия по обслуживанию автомобильного транспорта.</w:t>
      </w:r>
    </w:p>
    <w:p>
      <w:pPr>
        <w:pStyle w:val="Style69"/>
        <w:rPr>
          <w:rFonts w:ascii="Liberation Serif" w:hAnsi="Liberation Serif"/>
        </w:rPr>
      </w:pPr>
      <w:r>
        <w:rPr>
          <w:rFonts w:ascii="Liberation Serif" w:hAnsi="Liberation Serif"/>
        </w:rPr>
        <w:t>В центральной части города располагаются ООО «Камышловский хлеб», ОАО «Полевской молочный комбинат», ГУП СО «Каменск-Уральская типография». Производственные объекты, расположенные в центральной части, имеют ограничения в развитии.</w:t>
      </w:r>
    </w:p>
    <w:p>
      <w:pPr>
        <w:pStyle w:val="Style69"/>
        <w:rPr>
          <w:rFonts w:ascii="Liberation Serif" w:hAnsi="Liberation Serif"/>
        </w:rPr>
      </w:pPr>
      <w:r>
        <w:rPr>
          <w:rFonts w:ascii="Liberation Serif" w:hAnsi="Liberation Serif"/>
        </w:rPr>
        <w:t>В восточной части города располагается площадка ООО «Камышловский клеевой завод» и склад стройматериалов. Северо-восточнее ООО «Камышловский клеевой завод» находится территория завода ООО «Реммаш», пилорама, склад пиломатериалов и мебельный цех. В настоящее время в экономике округа занято 45,7% населения от всей численности населения Камышловского ГО, в том числе в сфере  производства  занято 18,0% населения, в сфере обслуживания – 27,7%.</w:t>
      </w:r>
    </w:p>
    <w:p>
      <w:pPr>
        <w:pStyle w:val="Style69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40"/>
        <w:keepNext w:val="true"/>
        <w:spacing w:lineRule="auto" w:line="360"/>
        <w:jc w:val="center"/>
        <w:rPr/>
      </w:pPr>
      <w:r>
        <w:rPr>
          <w:rStyle w:val="Style9"/>
          <w:rFonts w:ascii="Liberation Serif" w:hAnsi="Liberation Serif"/>
          <w:b/>
          <w:szCs w:val="24"/>
          <w:lang w:eastAsia="ru-RU"/>
        </w:rPr>
        <w:drawing>
          <wp:inline distT="0" distB="0" distL="0" distR="0">
            <wp:extent cx="6305550" cy="6905625"/>
            <wp:effectExtent l="0" t="0" r="0" b="0"/>
            <wp:docPr id="4" name="Рисунок 1" descr="Муниципальное_деление_Свердловской_области_(20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Муниципальное_деление_Свердловской_области_(2006)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66"/>
        <w:rPr/>
      </w:pPr>
      <w:bookmarkStart w:id="42" w:name="_Ref516821766"/>
      <w:r>
        <w:rPr>
          <w:rStyle w:val="Style9"/>
          <w:rFonts w:ascii="Liberation Serif" w:hAnsi="Liberation Serif"/>
        </w:rPr>
        <w:t>Рисунок 1</w:t>
      </w:r>
      <w:bookmarkEnd w:id="42"/>
      <w:r>
        <w:rPr>
          <w:rStyle w:val="Style9"/>
          <w:rFonts w:ascii="Liberation Serif" w:hAnsi="Liberation Serif"/>
        </w:rPr>
        <w:t>. Месторасположение Камышловского городского округа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Гидрография города Камышлов представлена рекой Пышма.</w:t>
      </w:r>
    </w:p>
    <w:p>
      <w:pPr>
        <w:pStyle w:val="Style64"/>
        <w:rPr/>
      </w:pPr>
      <w:r>
        <w:rPr>
          <w:rStyle w:val="Style9"/>
          <w:rFonts w:ascii="Liberation Serif" w:hAnsi="Liberation Serif"/>
        </w:rPr>
        <w:t>Река Пышма берет свое начало из озера Ключевского в районе  города Верхняя Пышма и впадает в реку Тура. Общая длина реки 603 км,  площадь водосбора 19700 км</w:t>
      </w:r>
      <w:r>
        <w:rPr>
          <w:rStyle w:val="Style9"/>
          <w:rFonts w:ascii="Liberation Serif" w:hAnsi="Liberation Serif"/>
          <w:position w:val="24"/>
          <w:sz w:val="16"/>
        </w:rPr>
        <w:t>2</w:t>
      </w:r>
      <w:r>
        <w:rPr>
          <w:rStyle w:val="Style9"/>
          <w:rFonts w:ascii="Liberation Serif" w:hAnsi="Liberation Serif"/>
        </w:rPr>
        <w:t xml:space="preserve"> (у г. Камышлов площадь водосбора 6190 км</w:t>
      </w:r>
      <w:r>
        <w:rPr>
          <w:rStyle w:val="Style9"/>
          <w:rFonts w:ascii="Liberation Serif" w:hAnsi="Liberation Serif"/>
          <w:position w:val="24"/>
          <w:sz w:val="16"/>
        </w:rPr>
        <w:t>2</w:t>
      </w:r>
      <w:r>
        <w:rPr>
          <w:rStyle w:val="Style9"/>
          <w:rFonts w:ascii="Liberation Serif" w:hAnsi="Liberation Serif"/>
        </w:rPr>
        <w:t>).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В районе города р. Пышма течет  в  слегка  извилистом  русле  шириной  100- 150 м, глубина в межень 1,0-1,5 м, скорость течения 0,1 м/сек. Максимальная поверхностная скорость во время прохождения  максимальных  паводков  порядка  1,0- 1,2 м/сек.</w:t>
      </w:r>
    </w:p>
    <w:p>
      <w:pPr>
        <w:pStyle w:val="Style64"/>
        <w:rPr/>
      </w:pPr>
      <w:r>
        <w:rPr>
          <w:rStyle w:val="Style9"/>
          <w:rFonts w:ascii="Liberation Serif" w:hAnsi="Liberation Serif"/>
        </w:rPr>
        <w:t>Одним из основных притоков р. Пышма является р. Камышловка. Длина р. Камышловки 18 км, площадь водосбора 95 км</w:t>
      </w:r>
      <w:r>
        <w:rPr>
          <w:rStyle w:val="Style9"/>
          <w:rFonts w:ascii="Liberation Serif" w:hAnsi="Liberation Serif"/>
          <w:position w:val="24"/>
          <w:sz w:val="16"/>
        </w:rPr>
        <w:t>2</w:t>
      </w:r>
      <w:r>
        <w:rPr>
          <w:rStyle w:val="Style9"/>
          <w:rFonts w:ascii="Liberation Serif" w:hAnsi="Liberation Serif"/>
        </w:rPr>
        <w:t>. Русло реки извилистое, скорость во время паводка 0,5-1,0 м/сек.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Территория города представлена террасами реки Пышмы, переходящими в пологие склоны и равнину местных водоразделов. Рельеф города характеризуется общим незначительным уклоном к реке.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В пределах долины р. Пышма выделяется  пойма  и  две  надпойменные террасы. Средняя часть территории представляет собой водораздельную равнину с абсолютными отметками 105-140 м, с уклоном к реке. Переход террас в водораздельную равнину плавный.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Характерной чертой рельефа является значительная пересеченность поверхности, обусловленная наличием многочисленных холмов высотой до 1,0-4,0 м, изолированных друг от друга понижениями, замкнутыми котловинами до 4,0 м глубиной. К некоторым значительным понижениям приурочены озера.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Климатические условия города Камышлов характерны для условий Среднего Урала. Лето теплое. Зима продолжительная, холодная; в весенний и осенний период погода неустойчива.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Продолжительность зимнего периода около 5 месяцев, устойчивый снежный покров образуется в среднем 11 ноября. Среднее число  дней  со  снежным  покровом - 158.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Продолжительность периода с устойчивыми морозами около 127 дней. В среднем за зиму около 26 дней с метелью.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Лето продолжительностью 3,5 месяца. За эти месяцы выпадает около 50% осадков годового количества, частые ливни, сопровождаются грозами. Июль – самый дождливый месяц.</w:t>
      </w:r>
    </w:p>
    <w:p>
      <w:pPr>
        <w:sectPr>
          <w:headerReference w:type="default" r:id="rId4"/>
          <w:type w:val="nextPage"/>
          <w:pgSz w:w="11910" w:h="16840"/>
          <w:pgMar w:left="1134" w:right="567" w:header="720" w:top="720" w:footer="0" w:bottom="720" w:gutter="0"/>
          <w:pgNumType w:fmt="decimal"/>
          <w:formProt w:val="false"/>
          <w:titlePg/>
          <w:textDirection w:val="lrTb"/>
          <w:docGrid w:type="default" w:linePitch="600" w:charSpace="40960"/>
        </w:sectPr>
        <w:pStyle w:val="Style64"/>
        <w:rPr/>
      </w:pPr>
      <w:r>
        <w:rPr>
          <w:rStyle w:val="Style9"/>
          <w:rFonts w:ascii="Liberation Serif" w:hAnsi="Liberation Serif"/>
        </w:rPr>
        <w:t xml:space="preserve">Ветровой  режим  характеризуется  преобладанием  в  течение  года  юго-западных  и западных  ветров.  Среднегодовая  скорость ветра  3,6  м/сек.  Подробные климатические характеристики приведены в таблице </w:t>
      </w:r>
      <w:r>
        <w:rPr>
          <w:rStyle w:val="Style9"/>
          <w:rFonts w:ascii="Liberation Serif" w:hAnsi="Liberation Serif"/>
        </w:rPr>
        <w:fldChar w:fldCharType="begin"/>
      </w:r>
      <w:r>
        <w:rPr>
          <w:rStyle w:val="Style9"/>
          <w:rFonts w:ascii="Liberation Serif" w:hAnsi="Liberation Serif"/>
        </w:rPr>
        <w:instrText> REF _Ref530582878 \h </w:instrText>
      </w:r>
      <w:r>
        <w:rPr>
          <w:rStyle w:val="Style9"/>
          <w:rFonts w:ascii="Liberation Serif" w:hAnsi="Liberation Serif"/>
        </w:rPr>
        <w:fldChar w:fldCharType="separate"/>
      </w:r>
      <w:r>
        <w:rPr>
          <w:rStyle w:val="Style9"/>
          <w:rFonts w:ascii="Liberation Serif" w:hAnsi="Liberation Serif"/>
        </w:rPr>
        <w:t>Таблица 1</w:t>
      </w:r>
      <w:r>
        <w:rPr>
          <w:rStyle w:val="Style9"/>
          <w:rFonts w:ascii="Liberation Serif" w:hAnsi="Liberation Serif"/>
        </w:rPr>
        <w:fldChar w:fldCharType="end"/>
      </w:r>
      <w:r>
        <w:rPr>
          <w:rStyle w:val="Style9"/>
          <w:rFonts w:ascii="Liberation Serif" w:hAnsi="Liberation Serif"/>
        </w:rPr>
        <w:t>.</w:t>
      </w:r>
    </w:p>
    <w:p>
      <w:pPr>
        <w:pStyle w:val="Style67"/>
        <w:rPr/>
      </w:pPr>
      <w:bookmarkStart w:id="43" w:name="_Ref530582878"/>
      <w:r>
        <w:rPr>
          <w:rStyle w:val="Style9"/>
          <w:rFonts w:ascii="Liberation Serif" w:hAnsi="Liberation Serif"/>
        </w:rPr>
        <w:t>Таблица 1</w:t>
      </w:r>
      <w:bookmarkEnd w:id="43"/>
      <w:r>
        <w:rPr>
          <w:rStyle w:val="Style9"/>
          <w:rFonts w:ascii="Liberation Serif" w:hAnsi="Liberation Serif"/>
        </w:rPr>
        <w:t>. Климатические характеристики</w:t>
      </w:r>
    </w:p>
    <w:tbl>
      <w:tblPr>
        <w:tblW w:w="14786" w:type="dxa"/>
        <w:jc w:val="left"/>
        <w:tblInd w:w="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4860"/>
        <w:gridCol w:w="852"/>
        <w:gridCol w:w="852"/>
        <w:gridCol w:w="713"/>
        <w:gridCol w:w="758"/>
        <w:gridCol w:w="756"/>
        <w:gridCol w:w="756"/>
        <w:gridCol w:w="758"/>
        <w:gridCol w:w="756"/>
        <w:gridCol w:w="758"/>
        <w:gridCol w:w="689"/>
        <w:gridCol w:w="713"/>
        <w:gridCol w:w="852"/>
        <w:gridCol w:w="713"/>
      </w:tblGrid>
      <w:tr>
        <w:trPr>
          <w:trHeight w:val="770" w:hRule="exact"/>
        </w:trPr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TableParagraph1"/>
              <w:jc w:val="center"/>
              <w:rPr/>
            </w:pPr>
            <w:r>
              <w:rPr>
                <w:rStyle w:val="Style9"/>
                <w:rFonts w:ascii="Liberation Serif" w:hAnsi="Liberation Serif"/>
                <w:b/>
                <w:lang w:val="ru-RU"/>
              </w:rPr>
              <w:t xml:space="preserve">Месяцы </w:t>
            </w:r>
            <w:r>
              <w:rPr>
                <w:rStyle w:val="Style9"/>
                <w:rFonts w:ascii="Liberation Serif" w:hAnsi="Liberation Serif"/>
                <w:b/>
                <w:spacing w:val="-1"/>
                <w:lang w:val="ru-RU"/>
              </w:rPr>
              <w:t>Элементы</w:t>
            </w:r>
            <w:r>
              <w:rPr>
                <w:rStyle w:val="Style9"/>
                <w:rFonts w:ascii="Liberation Serif" w:hAnsi="Liberation Serif"/>
                <w:b/>
                <w:lang w:val="ru-RU"/>
              </w:rPr>
              <w:t xml:space="preserve"> </w:t>
            </w:r>
            <w:r>
              <w:rPr>
                <w:rStyle w:val="Style9"/>
                <w:rFonts w:ascii="Liberation Serif" w:hAnsi="Liberation Serif"/>
                <w:b/>
                <w:spacing w:val="-1"/>
                <w:lang w:val="ru-RU"/>
              </w:rPr>
              <w:t>климата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TableParagraph1"/>
              <w:jc w:val="center"/>
              <w:rPr/>
            </w:pPr>
            <w:r>
              <w:rPr>
                <w:rStyle w:val="Style9"/>
                <w:rFonts w:ascii="Liberation Serif" w:hAnsi="Liberation Serif"/>
                <w:b/>
                <w:lang w:val="ru-RU"/>
              </w:rPr>
              <w:t>I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TableParagraph1"/>
              <w:jc w:val="center"/>
              <w:rPr/>
            </w:pPr>
            <w:r>
              <w:rPr>
                <w:rStyle w:val="Style9"/>
                <w:rFonts w:ascii="Liberation Serif" w:hAnsi="Liberation Serif"/>
                <w:b/>
                <w:lang w:val="ru-RU"/>
              </w:rPr>
              <w:t>II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TableParagraph1"/>
              <w:jc w:val="center"/>
              <w:rPr/>
            </w:pPr>
            <w:r>
              <w:rPr>
                <w:rStyle w:val="Style9"/>
                <w:rFonts w:ascii="Liberation Serif" w:hAnsi="Liberation Serif"/>
                <w:b/>
                <w:lang w:val="ru-RU"/>
              </w:rPr>
              <w:t>III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TableParagraph1"/>
              <w:jc w:val="center"/>
              <w:rPr/>
            </w:pPr>
            <w:r>
              <w:rPr>
                <w:rStyle w:val="Style9"/>
                <w:rFonts w:ascii="Liberation Serif" w:hAnsi="Liberation Serif"/>
                <w:b/>
                <w:lang w:val="ru-RU"/>
              </w:rPr>
              <w:t>IV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TableParagraph1"/>
              <w:jc w:val="center"/>
              <w:rPr/>
            </w:pPr>
            <w:r>
              <w:rPr>
                <w:rStyle w:val="Style9"/>
                <w:rFonts w:ascii="Liberation Serif" w:hAnsi="Liberation Serif"/>
                <w:b/>
                <w:lang w:val="ru-RU"/>
              </w:rPr>
              <w:t>V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TableParagraph1"/>
              <w:jc w:val="center"/>
              <w:rPr/>
            </w:pPr>
            <w:r>
              <w:rPr>
                <w:rStyle w:val="Style9"/>
                <w:rFonts w:ascii="Liberation Serif" w:hAnsi="Liberation Serif"/>
                <w:b/>
                <w:lang w:val="ru-RU"/>
              </w:rPr>
              <w:t>VI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TableParagraph1"/>
              <w:jc w:val="center"/>
              <w:rPr/>
            </w:pPr>
            <w:r>
              <w:rPr>
                <w:rStyle w:val="Style9"/>
                <w:rFonts w:ascii="Liberation Serif" w:hAnsi="Liberation Serif"/>
                <w:b/>
                <w:lang w:val="ru-RU"/>
              </w:rPr>
              <w:t>VII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TableParagraph1"/>
              <w:jc w:val="center"/>
              <w:rPr/>
            </w:pPr>
            <w:r>
              <w:rPr>
                <w:rStyle w:val="Style9"/>
                <w:rFonts w:ascii="Liberation Serif" w:hAnsi="Liberation Serif"/>
                <w:b/>
                <w:lang w:val="ru-RU"/>
              </w:rPr>
              <w:t>VIII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TableParagraph1"/>
              <w:jc w:val="center"/>
              <w:rPr/>
            </w:pPr>
            <w:r>
              <w:rPr>
                <w:rStyle w:val="Style9"/>
                <w:rFonts w:ascii="Liberation Serif" w:hAnsi="Liberation Serif"/>
                <w:b/>
                <w:lang w:val="ru-RU"/>
              </w:rPr>
              <w:t>IX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TableParagraph1"/>
              <w:jc w:val="center"/>
              <w:rPr/>
            </w:pPr>
            <w:r>
              <w:rPr>
                <w:rStyle w:val="Style9"/>
                <w:rFonts w:ascii="Liberation Serif" w:hAnsi="Liberation Serif"/>
                <w:b/>
                <w:lang w:val="ru-RU"/>
              </w:rPr>
              <w:t>X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TableParagraph1"/>
              <w:jc w:val="center"/>
              <w:rPr/>
            </w:pPr>
            <w:r>
              <w:rPr>
                <w:rStyle w:val="Style9"/>
                <w:rFonts w:ascii="Liberation Serif" w:hAnsi="Liberation Serif"/>
                <w:b/>
                <w:lang w:val="ru-RU"/>
              </w:rPr>
              <w:t>XI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TableParagraph1"/>
              <w:jc w:val="center"/>
              <w:rPr/>
            </w:pPr>
            <w:r>
              <w:rPr>
                <w:rStyle w:val="Style9"/>
                <w:rFonts w:ascii="Liberation Serif" w:hAnsi="Liberation Serif"/>
                <w:b/>
                <w:lang w:val="ru-RU"/>
              </w:rPr>
              <w:t>XII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TableParagraph1"/>
              <w:jc w:val="center"/>
              <w:rPr/>
            </w:pPr>
            <w:r>
              <w:rPr>
                <w:rStyle w:val="Style9"/>
                <w:rFonts w:ascii="Liberation Serif" w:hAnsi="Liberation Serif"/>
                <w:b/>
                <w:lang w:val="ru-RU"/>
              </w:rPr>
              <w:t>Год</w:t>
            </w:r>
          </w:p>
        </w:tc>
      </w:tr>
      <w:tr>
        <w:trPr>
          <w:trHeight w:val="389" w:hRule="exact"/>
        </w:trPr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Средняя температура, °С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-16,3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-14,3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-7,8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3,0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11,0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16,6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18,1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15,9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10,0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2,0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-7,0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-14,0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1,4</w:t>
            </w:r>
          </w:p>
        </w:tc>
      </w:tr>
      <w:tr>
        <w:trPr>
          <w:trHeight w:val="389" w:hRule="exact"/>
        </w:trPr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Абсолютный минимум t воздуха, °С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/>
            </w:pPr>
            <w:r>
              <w:rPr>
                <w:rStyle w:val="Style9"/>
                <w:rFonts w:ascii="Liberation Serif" w:hAnsi="Liberation Serif"/>
                <w:spacing w:val="-2"/>
              </w:rPr>
              <w:t>-45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/>
            </w:pPr>
            <w:r>
              <w:rPr>
                <w:rStyle w:val="Style9"/>
                <w:rFonts w:ascii="Liberation Serif" w:hAnsi="Liberation Serif"/>
                <w:spacing w:val="-2"/>
              </w:rPr>
              <w:t>-46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/>
            </w:pPr>
            <w:r>
              <w:rPr>
                <w:rStyle w:val="Style9"/>
                <w:rFonts w:ascii="Liberation Serif" w:hAnsi="Liberation Serif"/>
                <w:spacing w:val="-2"/>
              </w:rPr>
              <w:t>-42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/>
            </w:pPr>
            <w:r>
              <w:rPr>
                <w:rStyle w:val="Style9"/>
                <w:rFonts w:ascii="Liberation Serif" w:hAnsi="Liberation Serif"/>
                <w:spacing w:val="-2"/>
              </w:rPr>
              <w:t>-22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/>
            </w:pPr>
            <w:r>
              <w:rPr>
                <w:rStyle w:val="Style9"/>
                <w:rFonts w:ascii="Liberation Serif" w:hAnsi="Liberation Serif"/>
                <w:spacing w:val="-2"/>
              </w:rPr>
              <w:t>-10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/>
            </w:pPr>
            <w:r>
              <w:rPr>
                <w:rStyle w:val="Style9"/>
                <w:rFonts w:ascii="Liberation Serif" w:hAnsi="Liberation Serif"/>
                <w:spacing w:val="-2"/>
              </w:rPr>
              <w:t>-2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/>
            </w:pPr>
            <w:r>
              <w:rPr>
                <w:rStyle w:val="Style9"/>
                <w:rFonts w:ascii="Liberation Serif" w:hAnsi="Liberation Serif"/>
                <w:spacing w:val="-2"/>
              </w:rPr>
              <w:t>-22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/>
            </w:pPr>
            <w:r>
              <w:rPr>
                <w:rStyle w:val="Style9"/>
                <w:rFonts w:ascii="Liberation Serif" w:hAnsi="Liberation Serif"/>
                <w:spacing w:val="-2"/>
              </w:rPr>
              <w:t>-10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/>
            </w:pPr>
            <w:r>
              <w:rPr>
                <w:rStyle w:val="Style9"/>
                <w:rFonts w:ascii="Liberation Serif" w:hAnsi="Liberation Serif"/>
                <w:spacing w:val="-2"/>
              </w:rPr>
              <w:t>-41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/>
            </w:pPr>
            <w:r>
              <w:rPr>
                <w:rStyle w:val="Style9"/>
                <w:rFonts w:ascii="Liberation Serif" w:hAnsi="Liberation Serif"/>
                <w:spacing w:val="-2"/>
              </w:rPr>
              <w:t>-46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/>
            </w:pPr>
            <w:r>
              <w:rPr>
                <w:rStyle w:val="Style9"/>
                <w:rFonts w:ascii="Liberation Serif" w:hAnsi="Liberation Serif"/>
                <w:spacing w:val="-2"/>
              </w:rPr>
              <w:t>-46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/>
            </w:pPr>
            <w:r>
              <w:rPr>
                <w:rStyle w:val="Style9"/>
                <w:rFonts w:ascii="Liberation Serif" w:hAnsi="Liberation Serif"/>
                <w:spacing w:val="-2"/>
              </w:rPr>
              <w:t>-46</w:t>
            </w:r>
          </w:p>
        </w:tc>
      </w:tr>
      <w:tr>
        <w:trPr>
          <w:trHeight w:val="391" w:hRule="exact"/>
        </w:trPr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/>
            </w:pPr>
            <w:r>
              <w:rPr>
                <w:rStyle w:val="Style9"/>
                <w:rFonts w:ascii="Liberation Serif" w:hAnsi="Liberation Serif"/>
              </w:rPr>
              <w:t>Абсолютный максимум t</w:t>
            </w:r>
            <w:r>
              <w:rPr>
                <w:rStyle w:val="Style9"/>
                <w:rFonts w:ascii="Liberation Serif" w:hAnsi="Liberation Serif"/>
                <w:spacing w:val="-2"/>
              </w:rPr>
              <w:t xml:space="preserve"> </w:t>
            </w:r>
            <w:r>
              <w:rPr>
                <w:rStyle w:val="Style9"/>
                <w:rFonts w:ascii="Liberation Serif" w:hAnsi="Liberation Serif"/>
              </w:rPr>
              <w:t>воздуха, °С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15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28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36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36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40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37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30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24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12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40</w:t>
            </w:r>
          </w:p>
        </w:tc>
      </w:tr>
      <w:tr>
        <w:trPr>
          <w:trHeight w:val="389" w:hRule="exact"/>
        </w:trPr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/>
            </w:pPr>
            <w:r>
              <w:rPr>
                <w:rStyle w:val="Style9"/>
                <w:rFonts w:ascii="Liberation Serif" w:hAnsi="Liberation Serif"/>
              </w:rPr>
              <w:t>Среднее</w:t>
            </w:r>
            <w:r>
              <w:rPr>
                <w:rStyle w:val="Style9"/>
                <w:rFonts w:ascii="Liberation Serif" w:hAnsi="Liberation Serif"/>
                <w:spacing w:val="-3"/>
              </w:rPr>
              <w:t xml:space="preserve"> </w:t>
            </w:r>
            <w:r>
              <w:rPr>
                <w:rStyle w:val="Style9"/>
                <w:rFonts w:ascii="Liberation Serif" w:hAnsi="Liberation Serif"/>
              </w:rPr>
              <w:t>количество осадков, мм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16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40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59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65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37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30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28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437</w:t>
            </w:r>
          </w:p>
        </w:tc>
      </w:tr>
      <w:tr>
        <w:trPr>
          <w:trHeight w:val="768" w:hRule="exact"/>
        </w:trPr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/>
            </w:pPr>
            <w:r>
              <w:rPr>
                <w:rStyle w:val="Style9"/>
                <w:rFonts w:ascii="Liberation Serif" w:hAnsi="Liberation Serif"/>
              </w:rPr>
              <w:t>Средняя относительная влажность</w:t>
            </w:r>
            <w:r>
              <w:rPr>
                <w:rStyle w:val="Style9"/>
                <w:rFonts w:ascii="Liberation Serif" w:hAnsi="Liberation Serif"/>
                <w:spacing w:val="37"/>
              </w:rPr>
              <w:t xml:space="preserve"> </w:t>
            </w:r>
            <w:r>
              <w:rPr>
                <w:rStyle w:val="Style9"/>
                <w:rFonts w:ascii="Liberation Serif" w:hAnsi="Liberation Serif"/>
              </w:rPr>
              <w:t>воздуха, в%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79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76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72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66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56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60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73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75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76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79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80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72</w:t>
            </w:r>
          </w:p>
        </w:tc>
      </w:tr>
      <w:tr>
        <w:trPr>
          <w:trHeight w:val="389" w:hRule="exact"/>
        </w:trPr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/>
            </w:pPr>
            <w:r>
              <w:rPr>
                <w:rStyle w:val="Style9"/>
                <w:rFonts w:ascii="Liberation Serif" w:hAnsi="Liberation Serif"/>
              </w:rPr>
              <w:t>Средняя скорость ветра,</w:t>
            </w:r>
            <w:r>
              <w:rPr>
                <w:rStyle w:val="Style9"/>
                <w:rFonts w:ascii="Liberation Serif" w:hAnsi="Liberation Serif"/>
                <w:spacing w:val="-2"/>
              </w:rPr>
              <w:t xml:space="preserve"> </w:t>
            </w:r>
            <w:r>
              <w:rPr>
                <w:rStyle w:val="Style9"/>
                <w:rFonts w:ascii="Liberation Serif" w:hAnsi="Liberation Serif"/>
              </w:rPr>
              <w:t>м/сек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3.2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3.6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3.8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4.0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4.2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3.6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3.5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2.9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3.5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3.8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3.7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3.3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3.6</w:t>
            </w:r>
          </w:p>
        </w:tc>
      </w:tr>
      <w:tr>
        <w:trPr>
          <w:trHeight w:val="391" w:hRule="exact"/>
        </w:trPr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Среднее число дней с сильным ветром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0.3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0.6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0.6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0.8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2.0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1.6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0.5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0.4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0.6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0.7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0.3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0.5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9</w:t>
            </w:r>
          </w:p>
        </w:tc>
      </w:tr>
      <w:tr>
        <w:trPr>
          <w:trHeight w:val="768" w:hRule="exact"/>
        </w:trPr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/>
            </w:pPr>
            <w:r>
              <w:rPr>
                <w:rStyle w:val="Style9"/>
                <w:rFonts w:ascii="Liberation Serif" w:hAnsi="Liberation Serif"/>
              </w:rPr>
              <w:t>Среднее число дней с сильным</w:t>
            </w:r>
            <w:r>
              <w:rPr>
                <w:rStyle w:val="Style9"/>
                <w:rFonts w:ascii="Liberation Serif" w:hAnsi="Liberation Serif"/>
                <w:spacing w:val="27"/>
              </w:rPr>
              <w:t xml:space="preserve"> </w:t>
            </w:r>
            <w:r>
              <w:rPr>
                <w:rStyle w:val="Style9"/>
                <w:rFonts w:ascii="Liberation Serif" w:hAnsi="Liberation Serif"/>
              </w:rPr>
              <w:t>туманом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0.3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0.5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22</w:t>
            </w:r>
          </w:p>
        </w:tc>
      </w:tr>
      <w:tr>
        <w:trPr>
          <w:trHeight w:val="389" w:hRule="exact"/>
        </w:trPr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Среднее число дней с грозой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0.1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8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8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25</w:t>
            </w:r>
          </w:p>
        </w:tc>
      </w:tr>
      <w:tr>
        <w:trPr>
          <w:trHeight w:val="1313" w:hRule="exact"/>
        </w:trPr>
        <w:tc>
          <w:tcPr>
            <w:tcW w:w="4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  <w:sz w:val="23"/>
                <w:szCs w:val="23"/>
              </w:rPr>
            </w:pPr>
            <w:r>
              <w:rPr>
                <w:rFonts w:ascii="Liberation Serif" w:hAnsi="Liberation Serif"/>
                <w:b/>
                <w:bCs/>
                <w:sz w:val="23"/>
                <w:szCs w:val="23"/>
              </w:rPr>
            </w:r>
          </w:p>
          <w:p>
            <w:pPr>
              <w:pStyle w:val="Style68"/>
              <w:widowControl w:val="false"/>
              <w:rPr/>
            </w:pPr>
            <w:r>
              <w:rPr>
                <w:rStyle w:val="Style9"/>
                <w:rFonts w:ascii="Liberation Serif" w:hAnsi="Liberation Serif"/>
              </w:rPr>
              <w:t>Число</w:t>
            </w:r>
            <w:r>
              <w:rPr>
                <w:rStyle w:val="Style9"/>
                <w:rFonts w:ascii="Liberation Serif" w:hAnsi="Liberation Serif"/>
                <w:spacing w:val="-2"/>
              </w:rPr>
              <w:t xml:space="preserve"> </w:t>
            </w:r>
            <w:r>
              <w:rPr>
                <w:rStyle w:val="Style9"/>
                <w:rFonts w:ascii="Liberation Serif" w:hAnsi="Liberation Serif"/>
              </w:rPr>
              <w:t>дней по нижней облачности:</w:t>
            </w:r>
            <w:r>
              <w:rPr>
                <w:rStyle w:val="Style9"/>
                <w:rFonts w:ascii="Liberation Serif" w:hAnsi="Liberation Serif"/>
                <w:spacing w:val="29"/>
              </w:rPr>
              <w:t xml:space="preserve"> </w:t>
            </w:r>
            <w:r>
              <w:rPr>
                <w:rStyle w:val="Style9"/>
                <w:rFonts w:ascii="Liberation Serif" w:hAnsi="Liberation Serif"/>
              </w:rPr>
              <w:t>ясных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</w:rPr>
            </w:pPr>
            <w:r>
              <w:rPr>
                <w:rFonts w:ascii="Liberation Serif" w:hAnsi="Liberation Serif"/>
                <w:b/>
                <w:bCs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  <w:sz w:val="17"/>
                <w:szCs w:val="17"/>
              </w:rPr>
            </w:pPr>
            <w:r>
              <w:rPr>
                <w:rFonts w:ascii="Liberation Serif" w:hAnsi="Liberation Serif"/>
                <w:b/>
                <w:bCs/>
                <w:sz w:val="17"/>
                <w:szCs w:val="17"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</w:rPr>
            </w:pPr>
            <w:r>
              <w:rPr>
                <w:rFonts w:ascii="Liberation Serif" w:hAnsi="Liberation Serif"/>
                <w:b/>
                <w:bCs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  <w:sz w:val="17"/>
                <w:szCs w:val="17"/>
              </w:rPr>
            </w:pPr>
            <w:r>
              <w:rPr>
                <w:rFonts w:ascii="Liberation Serif" w:hAnsi="Liberation Serif"/>
                <w:b/>
                <w:bCs/>
                <w:sz w:val="17"/>
                <w:szCs w:val="17"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</w:rPr>
            </w:pPr>
            <w:r>
              <w:rPr>
                <w:rFonts w:ascii="Liberation Serif" w:hAnsi="Liberation Serif"/>
                <w:b/>
                <w:bCs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  <w:sz w:val="17"/>
                <w:szCs w:val="17"/>
              </w:rPr>
            </w:pPr>
            <w:r>
              <w:rPr>
                <w:rFonts w:ascii="Liberation Serif" w:hAnsi="Liberation Serif"/>
                <w:b/>
                <w:bCs/>
                <w:sz w:val="17"/>
                <w:szCs w:val="17"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</w:rPr>
            </w:pPr>
            <w:r>
              <w:rPr>
                <w:rFonts w:ascii="Liberation Serif" w:hAnsi="Liberation Serif"/>
                <w:b/>
                <w:bCs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  <w:sz w:val="17"/>
                <w:szCs w:val="17"/>
              </w:rPr>
            </w:pPr>
            <w:r>
              <w:rPr>
                <w:rFonts w:ascii="Liberation Serif" w:hAnsi="Liberation Serif"/>
                <w:b/>
                <w:bCs/>
                <w:sz w:val="17"/>
                <w:szCs w:val="17"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</w:rPr>
            </w:pPr>
            <w:r>
              <w:rPr>
                <w:rFonts w:ascii="Liberation Serif" w:hAnsi="Liberation Serif"/>
                <w:b/>
                <w:bCs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  <w:sz w:val="17"/>
                <w:szCs w:val="17"/>
              </w:rPr>
            </w:pPr>
            <w:r>
              <w:rPr>
                <w:rFonts w:ascii="Liberation Serif" w:hAnsi="Liberation Serif"/>
                <w:b/>
                <w:bCs/>
                <w:sz w:val="17"/>
                <w:szCs w:val="17"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0.3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</w:rPr>
            </w:pPr>
            <w:r>
              <w:rPr>
                <w:rFonts w:ascii="Liberation Serif" w:hAnsi="Liberation Serif"/>
                <w:b/>
                <w:bCs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  <w:sz w:val="17"/>
                <w:szCs w:val="17"/>
              </w:rPr>
            </w:pPr>
            <w:r>
              <w:rPr>
                <w:rFonts w:ascii="Liberation Serif" w:hAnsi="Liberation Serif"/>
                <w:b/>
                <w:bCs/>
                <w:sz w:val="17"/>
                <w:szCs w:val="17"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0.5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</w:rPr>
            </w:pPr>
            <w:r>
              <w:rPr>
                <w:rFonts w:ascii="Liberation Serif" w:hAnsi="Liberation Serif"/>
                <w:b/>
                <w:bCs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  <w:sz w:val="17"/>
                <w:szCs w:val="17"/>
              </w:rPr>
            </w:pPr>
            <w:r>
              <w:rPr>
                <w:rFonts w:ascii="Liberation Serif" w:hAnsi="Liberation Serif"/>
                <w:b/>
                <w:bCs/>
                <w:sz w:val="17"/>
                <w:szCs w:val="17"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</w:t>
            </w:r>
          </w:p>
        </w:tc>
        <w:tc>
          <w:tcPr>
            <w:tcW w:w="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</w:rPr>
            </w:pPr>
            <w:r>
              <w:rPr>
                <w:rFonts w:ascii="Liberation Serif" w:hAnsi="Liberation Serif"/>
                <w:b/>
                <w:bCs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  <w:sz w:val="17"/>
                <w:szCs w:val="17"/>
              </w:rPr>
            </w:pPr>
            <w:r>
              <w:rPr>
                <w:rFonts w:ascii="Liberation Serif" w:hAnsi="Liberation Serif"/>
                <w:b/>
                <w:bCs/>
                <w:sz w:val="17"/>
                <w:szCs w:val="17"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</w:rPr>
            </w:pPr>
            <w:r>
              <w:rPr>
                <w:rFonts w:ascii="Liberation Serif" w:hAnsi="Liberation Serif"/>
                <w:b/>
                <w:bCs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  <w:sz w:val="17"/>
                <w:szCs w:val="17"/>
              </w:rPr>
            </w:pPr>
            <w:r>
              <w:rPr>
                <w:rFonts w:ascii="Liberation Serif" w:hAnsi="Liberation Serif"/>
                <w:b/>
                <w:bCs/>
                <w:sz w:val="17"/>
                <w:szCs w:val="17"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</w:rPr>
            </w:pPr>
            <w:r>
              <w:rPr>
                <w:rFonts w:ascii="Liberation Serif" w:hAnsi="Liberation Serif"/>
                <w:b/>
                <w:bCs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  <w:sz w:val="17"/>
                <w:szCs w:val="17"/>
              </w:rPr>
            </w:pPr>
            <w:r>
              <w:rPr>
                <w:rFonts w:ascii="Liberation Serif" w:hAnsi="Liberation Serif"/>
                <w:b/>
                <w:bCs/>
                <w:sz w:val="17"/>
                <w:szCs w:val="17"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</w:rPr>
            </w:pPr>
            <w:r>
              <w:rPr>
                <w:rFonts w:ascii="Liberation Serif" w:hAnsi="Liberation Serif"/>
                <w:b/>
                <w:bCs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  <w:sz w:val="17"/>
                <w:szCs w:val="17"/>
              </w:rPr>
            </w:pPr>
            <w:r>
              <w:rPr>
                <w:rFonts w:ascii="Liberation Serif" w:hAnsi="Liberation Serif"/>
                <w:b/>
                <w:bCs/>
                <w:sz w:val="17"/>
                <w:szCs w:val="17"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</w:rPr>
            </w:pPr>
            <w:r>
              <w:rPr>
                <w:rFonts w:ascii="Liberation Serif" w:hAnsi="Liberation Serif"/>
                <w:b/>
                <w:bCs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  <w:sz w:val="17"/>
                <w:szCs w:val="17"/>
              </w:rPr>
            </w:pPr>
            <w:r>
              <w:rPr>
                <w:rFonts w:ascii="Liberation Serif" w:hAnsi="Liberation Serif"/>
                <w:b/>
                <w:bCs/>
                <w:sz w:val="17"/>
                <w:szCs w:val="17"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vAlign w:val="center"/>
          </w:tcPr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</w:rPr>
            </w:pPr>
            <w:r>
              <w:rPr>
                <w:rFonts w:ascii="Liberation Serif" w:hAnsi="Liberation Serif"/>
                <w:b/>
                <w:bCs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  <w:b/>
                <w:b/>
                <w:bCs/>
                <w:sz w:val="17"/>
                <w:szCs w:val="17"/>
              </w:rPr>
            </w:pPr>
            <w:r>
              <w:rPr>
                <w:rFonts w:ascii="Liberation Serif" w:hAnsi="Liberation Serif"/>
                <w:b/>
                <w:bCs/>
                <w:sz w:val="17"/>
                <w:szCs w:val="17"/>
              </w:rPr>
            </w:r>
          </w:p>
          <w:p>
            <w:pPr>
              <w:pStyle w:val="Style68"/>
              <w:widowControl w:val="false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22</w:t>
            </w:r>
          </w:p>
        </w:tc>
      </w:tr>
    </w:tbl>
    <w:p>
      <w:pPr>
        <w:sectPr>
          <w:headerReference w:type="default" r:id="rId5"/>
          <w:footerReference w:type="default" r:id="rId6"/>
          <w:type w:val="nextPage"/>
          <w:pgSz w:orient="landscape" w:w="16840" w:h="11910"/>
          <w:pgMar w:left="1134" w:right="567" w:header="720" w:top="720" w:footer="720" w:bottom="1134" w:gutter="0"/>
          <w:pgNumType w:fmt="decimal"/>
          <w:formProt w:val="false"/>
          <w:textDirection w:val="lrTb"/>
          <w:docGrid w:type="default" w:linePitch="600" w:charSpace="40960"/>
        </w:sectPr>
      </w:pPr>
    </w:p>
    <w:p>
      <w:pPr>
        <w:pStyle w:val="111"/>
        <w:numPr>
          <w:ilvl w:val="2"/>
          <w:numId w:val="3"/>
        </w:numPr>
        <w:tabs>
          <w:tab w:val="clear" w:pos="709"/>
          <w:tab w:val="left" w:pos="-5556" w:leader="none"/>
        </w:tabs>
        <w:rPr>
          <w:rFonts w:ascii="Liberation Serif" w:hAnsi="Liberation Serif"/>
        </w:rPr>
      </w:pPr>
      <w:bookmarkStart w:id="44" w:name="_Toc341622561"/>
      <w:bookmarkStart w:id="45" w:name="_Toc343876982"/>
      <w:bookmarkStart w:id="46" w:name="_Toc341622564"/>
      <w:bookmarkStart w:id="47" w:name="_Toc343247304"/>
      <w:bookmarkStart w:id="48" w:name="_Toc343877017"/>
      <w:bookmarkStart w:id="49" w:name="_Toc401067971"/>
      <w:bookmarkEnd w:id="44"/>
      <w:bookmarkEnd w:id="45"/>
      <w:bookmarkEnd w:id="46"/>
      <w:bookmarkEnd w:id="47"/>
      <w:bookmarkEnd w:id="48"/>
      <w:r>
        <w:rPr>
          <w:rFonts w:ascii="Liberation Serif" w:hAnsi="Liberation Serif"/>
        </w:rPr>
        <w:t xml:space="preserve"> </w:t>
      </w:r>
      <w:bookmarkStart w:id="50" w:name="_Toc531704217"/>
      <w:bookmarkStart w:id="51" w:name="_Toc531598940"/>
      <w:r>
        <w:rPr>
          <w:rFonts w:ascii="Liberation Serif" w:hAnsi="Liberation Serif"/>
        </w:rPr>
        <w:t>Существующее положение в сфере водоотведения КАмышловского городского округа</w:t>
      </w:r>
      <w:bookmarkEnd w:id="49"/>
      <w:bookmarkEnd w:id="50"/>
      <w:bookmarkEnd w:id="51"/>
    </w:p>
    <w:p>
      <w:pPr>
        <w:pStyle w:val="23"/>
        <w:rPr/>
      </w:pPr>
      <w:r>
        <w:rPr/>
        <w:t xml:space="preserve">1.1. </w:t>
      </w:r>
      <w:bookmarkStart w:id="52" w:name="_Toc390696024"/>
      <w:bookmarkStart w:id="53" w:name="_Toc390696236"/>
      <w:bookmarkStart w:id="54" w:name="_Toc401067972"/>
      <w:bookmarkStart w:id="55" w:name="_Toc531598941"/>
      <w:bookmarkStart w:id="56" w:name="_Toc531704218"/>
      <w:r>
        <w:rPr/>
        <w:t>Описание структуры системы сбора, очистки и отведения сточных вод на территории поселения и деление территории на эксплуатационные зоны</w:t>
      </w:r>
      <w:bookmarkEnd w:id="52"/>
      <w:bookmarkEnd w:id="53"/>
      <w:bookmarkEnd w:id="54"/>
      <w:bookmarkEnd w:id="55"/>
      <w:bookmarkEnd w:id="56"/>
    </w:p>
    <w:p>
      <w:pPr>
        <w:pStyle w:val="Style64"/>
        <w:tabs>
          <w:tab w:val="clear" w:pos="709"/>
          <w:tab w:val="left" w:pos="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Централизованные системы водоотведения предотвращают негативные последствия воздействия сточных вод на окружающую природную среду. После очистки сточные воды городского округа сбрасываются в водные объекты. Системы водоотведения тесно связаны с системами водоснабжения. Потребление и отвод воды от каждого санитарного прибора, квартиры и здания без ограничения обеспечивают высокие санитарно-эпидемиологические и комфортные условия жизни людей.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>На территории Камышловского городского округа предусмотрена система централизованного водоотведения в единственном населённом пункте: г. Камышлов, общая протяженностью канализационных сетей составляет 64,0 км. Износ канализационных сетей около 80%.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>На территории городского округа функционирует полная раздельная система канализации. Отвод хозяйственно-бытовых стоков осуществляется системой самотечно-напорных коллекторов и канализационных насосных станций перекачки на очистные сооружения (КОС)</w:t>
      </w:r>
      <w:r>
        <w:rPr>
          <w:rStyle w:val="Style9"/>
          <w:rFonts w:eastAsia="Calibri" w:ascii="Liberation Serif" w:hAnsi="Liberation Serif"/>
        </w:rPr>
        <w:t>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Структура водоотведения включает в себя следующие процессы с использованием централизованных систем водоотведения: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Транспортировка сточных вод от абонентов;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Поступление сточных вод на очистные сооружения;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Сброс очищенных сточных вод.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Прием стоков осуществляется внутриквартальными сетями. Централизованная канализация проложена от жилых домов ведомственной застройки, от зданий социокультурного назначения, от  промышленных  предприятий. В канализацию принимаются производственные стоки, прошедшие очистку на локальных очистных сооружениях предприятий.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>Сточные воды по системе самотечных и напорных коллекторов поступают в приемный  резервуар насосной станции биологических очистных сооружений. Обеззараживание сточных вод осуществляется гипохлоритом натрия марки «А». После прохождения очистки сточные воды сбрасываются в р. Пышма. Производительность очистных сооружений составляет 19000 м</w:t>
      </w:r>
      <w:r>
        <w:rPr>
          <w:rStyle w:val="Style9"/>
          <w:rFonts w:ascii="Liberation Serif" w:hAnsi="Liberation Serif"/>
          <w:position w:val="24"/>
          <w:sz w:val="16"/>
        </w:rPr>
        <w:t>3</w:t>
      </w:r>
      <w:r>
        <w:rPr>
          <w:rStyle w:val="Style9"/>
          <w:rFonts w:ascii="Liberation Serif" w:hAnsi="Liberation Serif"/>
        </w:rPr>
        <w:t>/сут. Износ очистных на момент актуализации схемы водоотведения составляет 85%. Также на территории городского округа в эксплуатации находятся 5 канализационных насосных станций (КНС).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Ливневая канализация на территории городского округа отсутствует.</w:t>
      </w:r>
      <w:r>
        <w:br w:type="page"/>
      </w:r>
    </w:p>
    <w:p>
      <w:pPr>
        <w:pStyle w:val="23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1.2. </w:t>
      </w:r>
      <w:bookmarkStart w:id="57" w:name="_Toc531704219"/>
      <w:bookmarkStart w:id="58" w:name="_Toc531598942"/>
      <w:bookmarkStart w:id="59" w:name="_Toc401067973"/>
      <w:bookmarkStart w:id="60" w:name="_Toc390696237"/>
      <w:bookmarkStart w:id="61" w:name="_Toc390696025"/>
      <w:r>
        <w:rPr>
          <w:rFonts w:ascii="Liberation Serif" w:hAnsi="Liberation Serif"/>
        </w:rPr>
        <w:t>Описание результатов технического обследования централизованной системы водоотведения</w:t>
      </w:r>
      <w:bookmarkEnd w:id="57"/>
      <w:bookmarkEnd w:id="58"/>
      <w:bookmarkEnd w:id="59"/>
      <w:bookmarkEnd w:id="60"/>
      <w:bookmarkEnd w:id="61"/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Централизованным водоотведением обеспечено 65% жилого фонда городского округа. В городе имеется часть микрорайонов, в которых нет централизованных сетей канализации. Вывоз сточных вод осуществляется автотранспортной техникой.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>Биологические очистные сооружения г. Камышлова были введены в эксплуатацию в 1976г. За весь период эксплуатации существенных изменений в технологии очистки сточных вод не произошло. Очистные сооружения эксплуатируются с 1976 года. Паспортная производительность составляет 19000 м</w:t>
      </w:r>
      <w:r>
        <w:rPr>
          <w:rStyle w:val="Style9"/>
          <w:rFonts w:ascii="Liberation Serif" w:hAnsi="Liberation Serif"/>
          <w:position w:val="24"/>
          <w:sz w:val="16"/>
        </w:rPr>
        <w:t>3</w:t>
      </w:r>
      <w:r>
        <w:rPr>
          <w:rStyle w:val="Style9"/>
          <w:rFonts w:ascii="Liberation Serif" w:hAnsi="Liberation Serif"/>
        </w:rPr>
        <w:t>/сут.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Состав   очистных сооружений: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КНС;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песколовки - 2 шт.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первичные отстойники - 8 шт.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аэротенки - 2 шт.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вторичные отстойники - 2 шт.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контактные резервуары - 2 шт.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иловые карты - 8 шт.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песковые площадки – 2 шт.;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хлораторная.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Сточные воды поступают в приемный резервуар насосной станции БОС на территории очистных сооружений и проходят через решетку, где улавливаются все крупные загрязнения.  Очистка решеток производится   вручную, мусор собирается в контейнер и вывозится на свалку.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</w:t>
      </w:r>
      <w:r>
        <w:rPr>
          <w:rFonts w:ascii="Liberation Serif" w:hAnsi="Liberation Serif"/>
        </w:rPr>
        <w:t>Очистка стоков проходит две стадии: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механическая (грубая очистка с выделением песка и крупных взвесей);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биологическая (удаление тонкой суспензии, коллоидных и растворенных загрязнений на аэротенках).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Осадок, поступивший из первичных отстойников, и избыточный ил вторичных отстойников направляются на иловые карты, где обезвоживаются в естественных условиях.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Сточные воды перед сбросом в реку Пышма обеззараживаются с применением обеззараживающего реагента – жидкого хлора.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Существующая технологическая схема очистки сточных вод не обеспечивает качество очищенных сточных вод в соответствии с современными нормативными требованиями.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 xml:space="preserve">Фактические расходы сточных вод за 2017 год приведены в таблице </w:t>
      </w:r>
      <w:r>
        <w:rPr>
          <w:rStyle w:val="Style9"/>
          <w:rFonts w:ascii="Liberation Serif" w:hAnsi="Liberation Serif"/>
        </w:rPr>
        <w:fldChar w:fldCharType="begin"/>
      </w:r>
      <w:r>
        <w:rPr>
          <w:rStyle w:val="Style9"/>
          <w:rFonts w:ascii="Liberation Serif" w:hAnsi="Liberation Serif"/>
        </w:rPr>
        <w:instrText> REF _Ref530582842 \h </w:instrText>
      </w:r>
      <w:r>
        <w:rPr>
          <w:rStyle w:val="Style9"/>
          <w:rFonts w:ascii="Liberation Serif" w:hAnsi="Liberation Serif"/>
        </w:rPr>
        <w:fldChar w:fldCharType="separate"/>
      </w:r>
      <w:r>
        <w:rPr>
          <w:rStyle w:val="Style9"/>
          <w:rFonts w:ascii="Liberation Serif" w:hAnsi="Liberation Serif"/>
        </w:rPr>
        <w:t>Таблица 2</w:t>
      </w:r>
      <w:r>
        <w:rPr>
          <w:rStyle w:val="Style9"/>
          <w:rFonts w:ascii="Liberation Serif" w:hAnsi="Liberation Serif"/>
        </w:rPr>
        <w:fldChar w:fldCharType="end"/>
      </w:r>
      <w:r>
        <w:rPr>
          <w:rStyle w:val="Style9"/>
          <w:rFonts w:ascii="Liberation Serif" w:hAnsi="Liberation Serif"/>
        </w:rPr>
        <w:t>.</w:t>
      </w:r>
      <w:r>
        <w:br w:type="page"/>
      </w:r>
    </w:p>
    <w:p>
      <w:pPr>
        <w:pStyle w:val="Style67"/>
        <w:rPr/>
      </w:pPr>
      <w:bookmarkStart w:id="62" w:name="_Ref530582842"/>
      <w:r>
        <w:rPr>
          <w:rStyle w:val="Style9"/>
          <w:rFonts w:ascii="Liberation Serif" w:hAnsi="Liberation Serif"/>
        </w:rPr>
        <w:t>Таблица 2</w:t>
      </w:r>
      <w:bookmarkEnd w:id="62"/>
      <w:r>
        <w:rPr>
          <w:rStyle w:val="Style9"/>
          <w:rFonts w:ascii="Liberation Serif" w:hAnsi="Liberation Serif"/>
        </w:rPr>
        <w:t>. Фактические расходы сточных вод</w:t>
      </w:r>
    </w:p>
    <w:tbl>
      <w:tblPr>
        <w:tblW w:w="5000" w:type="pct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7"/>
        <w:gridCol w:w="1394"/>
        <w:gridCol w:w="1953"/>
        <w:gridCol w:w="2934"/>
        <w:gridCol w:w="1947"/>
      </w:tblGrid>
      <w:tr>
        <w:trPr>
          <w:trHeight w:val="397" w:hRule="atLeast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tabs>
                <w:tab w:val="clear" w:pos="709"/>
                <w:tab w:val="left" w:pos="142" w:leader="none"/>
              </w:tabs>
              <w:rPr/>
            </w:pPr>
            <w:r>
              <w:rPr>
                <w:rStyle w:val="Style9"/>
                <w:rFonts w:ascii="Liberation Serif" w:hAnsi="Liberation Serif"/>
              </w:rPr>
              <w:t>Наименование населенного</w:t>
            </w:r>
          </w:p>
          <w:p>
            <w:pPr>
              <w:pStyle w:val="Style68"/>
              <w:tabs>
                <w:tab w:val="clear" w:pos="709"/>
                <w:tab w:val="left" w:pos="142" w:leader="none"/>
              </w:tabs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пункта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tabs>
                <w:tab w:val="clear" w:pos="709"/>
                <w:tab w:val="left" w:pos="142" w:leader="none"/>
              </w:tabs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Размерность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tabs>
                <w:tab w:val="clear" w:pos="709"/>
                <w:tab w:val="left" w:pos="142" w:leader="none"/>
              </w:tabs>
              <w:rPr/>
            </w:pPr>
            <w:r>
              <w:rPr>
                <w:rStyle w:val="Style9"/>
                <w:rFonts w:ascii="Liberation Serif" w:hAnsi="Liberation Serif"/>
              </w:rPr>
              <w:t>Количество отводимых сточных   вод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tabs>
                <w:tab w:val="clear" w:pos="709"/>
                <w:tab w:val="left" w:pos="142" w:leader="none"/>
              </w:tabs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Мощность очистных</w:t>
            </w:r>
          </w:p>
          <w:p>
            <w:pPr>
              <w:pStyle w:val="Style68"/>
              <w:tabs>
                <w:tab w:val="clear" w:pos="709"/>
                <w:tab w:val="left" w:pos="142" w:leader="none"/>
              </w:tabs>
              <w:rPr/>
            </w:pPr>
            <w:r>
              <w:rPr>
                <w:rStyle w:val="Style9"/>
                <w:rFonts w:ascii="Liberation Serif" w:hAnsi="Liberation Serif"/>
              </w:rPr>
              <w:t>сооружений, принимающих сточные воды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tabs>
                <w:tab w:val="clear" w:pos="709"/>
                <w:tab w:val="left" w:pos="142" w:leader="none"/>
              </w:tabs>
              <w:rPr/>
            </w:pPr>
            <w:r>
              <w:rPr>
                <w:rStyle w:val="Style9"/>
                <w:rFonts w:ascii="Liberation Serif" w:hAnsi="Liberation Serif"/>
              </w:rPr>
              <w:t>(+)Резерв мощности/   (-) дефицит мощности</w:t>
            </w:r>
          </w:p>
        </w:tc>
      </w:tr>
      <w:tr>
        <w:trPr>
          <w:trHeight w:val="397" w:hRule="atLeast"/>
        </w:trPr>
        <w:tc>
          <w:tcPr>
            <w:tcW w:w="1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tabs>
                <w:tab w:val="clear" w:pos="709"/>
                <w:tab w:val="left" w:pos="142" w:leader="none"/>
              </w:tabs>
              <w:rPr/>
            </w:pPr>
            <w:r>
              <w:rPr>
                <w:rStyle w:val="Style9"/>
                <w:rFonts w:ascii="Liberation Serif" w:hAnsi="Liberation Serif"/>
              </w:rPr>
              <w:t>Камышловский городской округ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68"/>
              <w:tabs>
                <w:tab w:val="clear" w:pos="709"/>
                <w:tab w:val="left" w:pos="142" w:leader="none"/>
              </w:tabs>
              <w:rPr/>
            </w:pPr>
            <w:r>
              <w:rPr>
                <w:rStyle w:val="Style9"/>
                <w:rFonts w:ascii="Liberation Serif" w:hAnsi="Liberation Serif"/>
              </w:rPr>
              <w:t>м</w:t>
            </w:r>
            <w:r>
              <w:rPr>
                <w:rStyle w:val="Style9"/>
                <w:rFonts w:ascii="Liberation Serif" w:hAnsi="Liberation Serif"/>
                <w:position w:val="22"/>
                <w:sz w:val="14"/>
              </w:rPr>
              <w:t>3</w:t>
            </w:r>
            <w:r>
              <w:rPr>
                <w:rStyle w:val="Style9"/>
                <w:rFonts w:ascii="Liberation Serif" w:hAnsi="Liberation Serif"/>
              </w:rPr>
              <w:t>/сут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tabs>
                <w:tab w:val="clear" w:pos="709"/>
                <w:tab w:val="left" w:pos="142" w:leader="none"/>
              </w:tabs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6933,7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tabs>
                <w:tab w:val="clear" w:pos="709"/>
                <w:tab w:val="left" w:pos="142" w:leader="none"/>
              </w:tabs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tabs>
                <w:tab w:val="clear" w:pos="709"/>
                <w:tab w:val="left" w:pos="142" w:leader="none"/>
              </w:tabs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+12066,3</w:t>
            </w:r>
          </w:p>
        </w:tc>
      </w:tr>
      <w:tr>
        <w:trPr>
          <w:trHeight w:val="397" w:hRule="atLeast"/>
        </w:trPr>
        <w:tc>
          <w:tcPr>
            <w:tcW w:w="19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68"/>
              <w:tabs>
                <w:tab w:val="clear" w:pos="709"/>
                <w:tab w:val="left" w:pos="142" w:leader="none"/>
              </w:tabs>
              <w:rPr/>
            </w:pPr>
            <w:r>
              <w:rPr>
                <w:rStyle w:val="Style9"/>
                <w:rFonts w:ascii="Liberation Serif" w:hAnsi="Liberation Serif"/>
              </w:rPr>
              <w:t>тыс.м</w:t>
            </w:r>
            <w:r>
              <w:rPr>
                <w:rStyle w:val="Style9"/>
                <w:rFonts w:ascii="Liberation Serif" w:hAnsi="Liberation Serif"/>
                <w:position w:val="22"/>
                <w:sz w:val="14"/>
              </w:rPr>
              <w:t>3</w:t>
            </w:r>
            <w:r>
              <w:rPr>
                <w:rStyle w:val="Style9"/>
                <w:rFonts w:ascii="Liberation Serif" w:hAnsi="Liberation Serif"/>
              </w:rPr>
              <w:t>/год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tabs>
                <w:tab w:val="clear" w:pos="709"/>
                <w:tab w:val="left" w:pos="142" w:leader="none"/>
              </w:tabs>
              <w:rPr/>
            </w:pPr>
            <w:r>
              <w:rPr>
                <w:rStyle w:val="Style9"/>
                <w:rFonts w:ascii="Liberation Serif" w:hAnsi="Liberation Serif"/>
              </w:rPr>
              <w:t>2530,8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tabs>
                <w:tab w:val="clear" w:pos="709"/>
                <w:tab w:val="left" w:pos="142" w:leader="none"/>
              </w:tabs>
              <w:rPr/>
            </w:pPr>
            <w:r>
              <w:rPr>
                <w:rStyle w:val="Style9"/>
                <w:rFonts w:ascii="Liberation Serif" w:hAnsi="Liberation Serif"/>
              </w:rPr>
              <w:t>6935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tabs>
                <w:tab w:val="clear" w:pos="709"/>
                <w:tab w:val="left" w:pos="142" w:leader="none"/>
              </w:tabs>
              <w:rPr/>
            </w:pPr>
            <w:r>
              <w:rPr>
                <w:rStyle w:val="Style9"/>
                <w:rFonts w:ascii="Liberation Serif" w:hAnsi="Liberation Serif"/>
              </w:rPr>
              <w:t>+4404,2</w:t>
            </w:r>
          </w:p>
        </w:tc>
      </w:tr>
    </w:tbl>
    <w:p>
      <w:pPr>
        <w:pStyle w:val="Style64"/>
        <w:tabs>
          <w:tab w:val="clear" w:pos="709"/>
          <w:tab w:val="left" w:pos="142" w:leader="none"/>
        </w:tabs>
        <w:spacing w:before="240" w:after="0"/>
        <w:rPr/>
      </w:pPr>
      <w:r>
        <w:rPr>
          <w:rStyle w:val="Style9"/>
          <w:rFonts w:ascii="Liberation Serif" w:hAnsi="Liberation Serif"/>
        </w:rPr>
        <w:t>По данным таблицы видно, что в настоящее время дефицит мощности очистных сооружений отсутствует. Все поступаемые на очистные сооружения стоки проходят очистку в полном объеме.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>Регулярный контроль над качеством сточных вод  производится согласно графику лабораторного  контроля. Контроль за качеством очистки сточных вод осуществляют подрядные организации. Примеры результатов проведения лабораторных исследований представлены в Приложении 1 «Протоколы лабораторных исследований».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Перечень канализационных насосных станций на территории Камышловского городского округа: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/>
      </w:pPr>
      <w:r>
        <w:rPr>
          <w:rStyle w:val="Style9"/>
          <w:rFonts w:ascii="Liberation Serif" w:hAnsi="Liberation Serif"/>
        </w:rPr>
        <w:t>КНС  «Пролетарская»  по  ул.  Пролетарской;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КНС  «Боровая»  ул. Советская;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КНС «Северная»  район садов;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КНС  «Свердлова» ул. Свердлова.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Основные канализационные коллекторы города проложены по улицам: Боровая и Пролетарская – диаметром 600 миллиметров; Розы Люксембург, Урицкого, Кирова, Максима Горького,  Свердлова,  Красноармейская  –  диаметром  400 миллиметров;  Дзержинского  – диаметром  350 миллиметров;  Красных  Орлов,  Гагарина,  Жукова,  Ленинградская,  Энгельса, Карла Маркса, Вокзальная – диаметром 300 миллиметров.</w:t>
      </w:r>
    </w:p>
    <w:p>
      <w:pPr>
        <w:pStyle w:val="Style69"/>
        <w:rPr>
          <w:rFonts w:ascii="Liberation Serif" w:hAnsi="Liberation Serif"/>
        </w:rPr>
      </w:pPr>
      <w:r>
        <w:rPr>
          <w:rFonts w:ascii="Liberation Serif" w:hAnsi="Liberation Serif"/>
        </w:rPr>
        <w:t>В границах Камышловского городского округа статусом гарантирующей организацией в сфере водоотведения наделены следующие предприятия: МУП "Водоканал Камышлов". Зоной деятельности гарантирующей организации определена территория централизованных систем холодного водоснабжения и водоотведения всего городского округа.</w:t>
      </w:r>
    </w:p>
    <w:p>
      <w:pPr>
        <w:pStyle w:val="Style69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23"/>
        <w:rPr/>
      </w:pPr>
      <w:r>
        <w:rPr/>
      </w:r>
      <w:bookmarkStart w:id="63" w:name="_Toc390696026"/>
      <w:bookmarkStart w:id="64" w:name="_Toc390696238"/>
      <w:bookmarkStart w:id="65" w:name="_Toc401067974"/>
      <w:bookmarkStart w:id="66" w:name="_Toc390696026"/>
      <w:bookmarkStart w:id="67" w:name="_Toc390696238"/>
      <w:bookmarkStart w:id="68" w:name="_Toc401067974"/>
      <w:r>
        <w:br w:type="page"/>
      </w:r>
    </w:p>
    <w:p>
      <w:pPr>
        <w:pStyle w:val="23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1.3. </w:t>
      </w:r>
      <w:bookmarkStart w:id="69" w:name="_Toc531704220"/>
      <w:bookmarkStart w:id="70" w:name="_Toc531598943"/>
      <w:r>
        <w:rPr>
          <w:rFonts w:ascii="Liberation Serif" w:hAnsi="Liberation Serif"/>
        </w:rPr>
        <w:t>Описание технологических зон водоотведения, зон централизованного и нецентрализованного водоотведения</w:t>
      </w:r>
      <w:bookmarkEnd w:id="66"/>
      <w:bookmarkEnd w:id="67"/>
      <w:bookmarkEnd w:id="68"/>
      <w:bookmarkEnd w:id="69"/>
      <w:bookmarkEnd w:id="70"/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Постановление правительства РФ от 05.09.2013 года №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вводит новое понятия в сфере водоотведения: "технологическая зона водоотведения"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в водный объект.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Федеральный закон Российской Федерации от 7 декабря 2011 г. N 416-ФЗ"О водоснабжении и водоотведении" вводит понятие в сфере водоотведения: централизованная система водоотведения (канализации) - комплекс технологически связанных между собой инженерных сооружений, предназначенных для водоотведения;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Исходя из представленных определений в Камышловском городском округе технологическая зона и зона централизованного водоотведения совпадают и представлены единственным населенным пунктом: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Технологическая зон (централизованная система водоотведения) города Камышлов.</w:t>
      </w:r>
    </w:p>
    <w:p>
      <w:pPr>
        <w:sectPr>
          <w:headerReference w:type="default" r:id="rId7"/>
          <w:footerReference w:type="default" r:id="rId8"/>
          <w:footerReference w:type="first" r:id="rId9"/>
          <w:type w:val="nextPage"/>
          <w:pgSz w:w="11906" w:h="16838"/>
          <w:pgMar w:left="1134" w:right="567" w:header="720" w:top="708" w:footer="708" w:bottom="1134" w:gutter="0"/>
          <w:pgNumType w:fmt="decimal"/>
          <w:formProt w:val="false"/>
          <w:titlePg/>
          <w:textDirection w:val="lrTb"/>
          <w:docGrid w:type="default" w:linePitch="600" w:charSpace="40960"/>
        </w:sect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 xml:space="preserve">Графическое отображение зоны представлено на рисунке </w:t>
      </w:r>
      <w:r>
        <w:rPr>
          <w:rStyle w:val="Style9"/>
          <w:rFonts w:ascii="Liberation Serif" w:hAnsi="Liberation Serif"/>
        </w:rPr>
        <w:fldChar w:fldCharType="begin"/>
      </w:r>
      <w:r>
        <w:rPr>
          <w:rStyle w:val="Style9"/>
          <w:rFonts w:ascii="Liberation Serif" w:hAnsi="Liberation Serif"/>
        </w:rPr>
        <w:instrText> REF _Ref530583392 \h </w:instrText>
      </w:r>
      <w:r>
        <w:rPr>
          <w:rStyle w:val="Style9"/>
          <w:rFonts w:ascii="Liberation Serif" w:hAnsi="Liberation Serif"/>
        </w:rPr>
        <w:fldChar w:fldCharType="separate"/>
      </w:r>
      <w:r>
        <w:rPr>
          <w:rStyle w:val="Style9"/>
          <w:rFonts w:ascii="Liberation Serif" w:hAnsi="Liberation Serif"/>
        </w:rPr>
        <w:t>Рисунок 2</w:t>
      </w:r>
      <w:r>
        <w:rPr>
          <w:rStyle w:val="Style9"/>
          <w:rFonts w:ascii="Liberation Serif" w:hAnsi="Liberation Serif"/>
        </w:rPr>
        <w:fldChar w:fldCharType="end"/>
      </w:r>
      <w:r>
        <w:rPr>
          <w:rStyle w:val="Style9"/>
          <w:rFonts w:ascii="Liberation Serif" w:hAnsi="Liberation Serif"/>
        </w:rPr>
        <w:t xml:space="preserve"> и в Приложении 2 «Существующая схема водоотведения». Централизованным водоотведением обеспечено 65% жилого фонда городского округа. В городе имеется часть микрорайонов, в которых нет централизованных сетей канализации. Вывоз сточных вод осуществляется автотранспортной техникой. Система централизованного водоотведения предусмотрена в центральной части города, частично канализованы Северная и Восточные части города.</w:t>
      </w:r>
    </w:p>
    <w:p>
      <w:pPr>
        <w:pStyle w:val="Style66"/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66"/>
        <w:rPr/>
      </w:pPr>
      <w:bookmarkStart w:id="71" w:name="_Toc390696027"/>
      <w:bookmarkStart w:id="72" w:name="_Toc390696239"/>
      <w:bookmarkStart w:id="73" w:name="_Toc401067977"/>
      <w:r>
        <w:rPr>
          <w:rStyle w:val="Style9"/>
          <w:rFonts w:ascii="Liberation Serif" w:hAnsi="Liberation Serif"/>
          <w:lang w:eastAsia="ru-RU"/>
        </w:rPr>
        <w:drawing>
          <wp:inline distT="0" distB="0" distL="0" distR="0">
            <wp:extent cx="9246235" cy="5083810"/>
            <wp:effectExtent l="0" t="0" r="0" b="0"/>
            <wp:docPr id="5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footerReference w:type="default" r:id="rId12"/>
          <w:type w:val="nextPage"/>
          <w:pgSz w:orient="landscape" w:w="16838" w:h="11906"/>
          <w:pgMar w:left="1134" w:right="1134" w:header="0" w:top="720" w:footer="720" w:bottom="567" w:gutter="0"/>
          <w:pgNumType w:fmt="decimal"/>
          <w:formProt w:val="false"/>
          <w:textDirection w:val="lrTb"/>
          <w:docGrid w:type="default" w:linePitch="600" w:charSpace="40960"/>
        </w:sectPr>
        <w:pStyle w:val="Style66"/>
        <w:rPr/>
      </w:pPr>
      <w:bookmarkStart w:id="74" w:name="_Ref530583392"/>
      <w:r>
        <w:rPr>
          <w:rStyle w:val="Style9"/>
          <w:rFonts w:ascii="Liberation Serif" w:hAnsi="Liberation Serif"/>
        </w:rPr>
        <w:t>Рисунок 2</w:t>
      </w:r>
      <w:bookmarkEnd w:id="74"/>
      <w:r>
        <w:rPr>
          <w:rStyle w:val="Style9"/>
          <w:rFonts w:ascii="Liberation Serif" w:hAnsi="Liberation Serif"/>
        </w:rPr>
        <w:t>. Зона централизованного водоотведения Камышловского городского округа</w:t>
      </w:r>
    </w:p>
    <w:p>
      <w:pPr>
        <w:pStyle w:val="23"/>
        <w:rPr/>
      </w:pPr>
      <w:r>
        <w:rPr/>
        <w:t xml:space="preserve">1.4. </w:t>
      </w:r>
      <w:bookmarkStart w:id="75" w:name="_Toc531704221"/>
      <w:bookmarkStart w:id="76" w:name="_Toc531598944"/>
      <w:r>
        <w:rPr/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71"/>
      <w:bookmarkEnd w:id="72"/>
      <w:bookmarkEnd w:id="73"/>
      <w:bookmarkEnd w:id="75"/>
      <w:bookmarkEnd w:id="76"/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При очистке сточных вод на территории Камышловского городского округа образуются следующие виды осадков: песок песколовок, сырой осадок и плавающие вещества первичных отстойников, избыточный активный ил из вторичных отстойников.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 сыром виде осадок имеет ряд отрицательных свойств: плохо сохнет, издаёт неприятный запах, опасен в санитарном отношении, так как содержит большое количество яиц гельминтов, что ограничивает его использование. Однако органический осадок перебродивший и подсушенный теряет гнилостный запах, приобретает однородную зернистую структуру, содержащиеся в нем азот, фосфор, калий хорошо усваиваются растениями при использовании его для удобрения. Количество осадка уменьшается, так как часть органического вещества минерализуясь, переходит в растворенное и газообразное состояние.  Осадок вылеживается на территории очистных сооружений не менее 3-х лет. После аэротенков водно-иловая смесь для разделения поступает на вторичные отстойники, где разделяется на активный ил и очищенную сточную воду.</w:t>
      </w:r>
    </w:p>
    <w:p>
      <w:pPr>
        <w:pStyle w:val="23"/>
        <w:rPr/>
      </w:pPr>
      <w:r>
        <w:rPr/>
        <w:t xml:space="preserve">1.5. </w:t>
      </w:r>
      <w:bookmarkStart w:id="77" w:name="_Toc390696029"/>
      <w:bookmarkStart w:id="78" w:name="_Toc390696241"/>
      <w:bookmarkStart w:id="79" w:name="_Toc401067975"/>
      <w:bookmarkStart w:id="80" w:name="_Toc531704222"/>
      <w:bookmarkStart w:id="81" w:name="_Toc531598945"/>
      <w:bookmarkStart w:id="82" w:name="_Toc401067978"/>
      <w:bookmarkStart w:id="83" w:name="_Toc390696240"/>
      <w:bookmarkStart w:id="84" w:name="_Toc390696028"/>
      <w:r>
        <w:rPr/>
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80"/>
      <w:bookmarkEnd w:id="81"/>
      <w:bookmarkEnd w:id="82"/>
      <w:bookmarkEnd w:id="83"/>
      <w:bookmarkEnd w:id="84"/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Сточные воды, образующиеся в черте населенных мест и на промышленных предприятиях, можно разделить на: бытовые, которые образуются в жилых, общественных, коммунальных и промышленных зданиях; производственные, образующиеся в результате использования воды в различных технологических процессах; дождевые, образующиеся на поверхности городской и сельской территорий, проездов, площадей, крыш и пр. при выпадении дождя и таянии снега.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На территории городского округа система промышленно-ливневой канализации отсутствует. Функционирование и эксплуатация канализационных сетей систем водоотведения осуществляются на основании «Правил технической эксплуатации систем и сооружений коммунального водоснабжения и канализации», утвержденных приказом Госстроя РФ №168 от 30.12.1999г.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Стоки Камышловского городского округа системой самотечно-напорных коллекторов  поступают  в  главный  самотечный  коллектор  города  диаметром 1000 миллиметров,  отводящий  стоки  на  городские  очистные  сооружения  канализации , расположенные в юго-восточной части города. После полной биологической очистки стоки сбрасываются в р. Пышма коллектором диаметром 800 миллиметров.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Общая протяженность сетей водоотведения на территории г. Камышлов составляет 64,0 км.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Канализационные сети изношены, износ сетей водоотведения достигает 80%.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На сетях канализации имеются смотровые колодцы, расположенные через 35-75 м., в зависимости от диаметров трубопроводов и количества присоединений. Колодцы выполнены из сборного железобетона и кирпича. Глубина колодцев колеблется от 1 до 9 м, в зависимости от уклона и рельефа местности.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Хозяйственно-бытовые стоки центральной части г. Камышлов системой самотечно-напорных коллекторов собираются в главную насосную станцию перекачки, расположенную по ул. Пролетарской (между улиц Ленинградская и Максима Горького), и далее по напорному коллектору диаметром 1000 миллиметров подаются в главный самотечный коллектор города.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Хозяйственно-бытовые стоки от застройки  по  улицам  Загородная,  Карловарская  и Боровая  отводятся  в  главный  самотечный  коллектор  города  самотечным  коллектором диаметром 600 миллиметров.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Хозяйственно-бытовые стоки восточной части  г. Камышлов  системой  самотечных коллекторов  диаметров  150,  200,  350 миллиметров  также  отводятся  в  главный самотечный коллектор города.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Основные канализационные коллекторы  города  проложены  по  улицам:  Боровая  и Пролетарская – диаметром 600 миллиметров; Розы Люксембург, Урицкого, Кирова, Максима Горького,  Свердлова,  Красноармейская  –  диаметром  400 миллиметров;  Дзержинского  – диаметром  350 миллиметров;  Красных  Орлов,  Гагарина,  Жукова,  Ленинградская,  Энгельса, Карла Маркса, Вокзальная – диаметром 300 миллиметров.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Канализационные насосные станции (КНС) предназначены для обеспечения подачи сточных вод (т.е. перекачки и подъема) в систему канализации. КНС откачивают хозяйственно-бытовые сточные воды. Канализационную станцию размещают в конце главного самотечного коллектора, т.е. в наиболее пониженной зоне канализируемой территории, куда целесообразно подавать сточ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>Учитывая рельеф местности, сбор и перекачка сточных вод от потребителей частично осуществляется канализационными насосными станциями (</w:t>
      </w:r>
      <w:r>
        <w:rPr>
          <w:rStyle w:val="Style9"/>
          <w:rFonts w:ascii="Liberation Serif" w:hAnsi="Liberation Serif"/>
        </w:rPr>
        <w:fldChar w:fldCharType="begin"/>
      </w:r>
      <w:r>
        <w:rPr>
          <w:rStyle w:val="Style9"/>
          <w:rFonts w:ascii="Liberation Serif" w:hAnsi="Liberation Serif"/>
        </w:rPr>
        <w:instrText> REF _Ref530583612 \h </w:instrText>
      </w:r>
      <w:r>
        <w:rPr>
          <w:rStyle w:val="Style9"/>
          <w:rFonts w:ascii="Liberation Serif" w:hAnsi="Liberation Serif"/>
        </w:rPr>
        <w:fldChar w:fldCharType="separate"/>
      </w:r>
      <w:r>
        <w:rPr>
          <w:rStyle w:val="Style9"/>
          <w:rFonts w:ascii="Liberation Serif" w:hAnsi="Liberation Serif"/>
        </w:rPr>
        <w:t>Таблица 3</w:t>
      </w:r>
      <w:r>
        <w:rPr>
          <w:rStyle w:val="Style9"/>
          <w:rFonts w:ascii="Liberation Serif" w:hAnsi="Liberation Serif"/>
        </w:rPr>
        <w:fldChar w:fldCharType="end"/>
      </w:r>
      <w:r>
        <w:rPr>
          <w:rStyle w:val="Style9"/>
          <w:rFonts w:ascii="Liberation Serif" w:hAnsi="Liberation Serif"/>
        </w:rPr>
        <w:t>):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/>
      </w:pPr>
      <w:r>
        <w:rPr>
          <w:rStyle w:val="Style9"/>
          <w:rFonts w:ascii="Liberation Serif" w:hAnsi="Liberation Serif"/>
        </w:rPr>
        <w:t>КНС  «Пролетарская»  по  ул.  Пролетарской;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КНС  «Боровая»  ул. Советская;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КНС «Северная»  район садов;</w:t>
      </w:r>
    </w:p>
    <w:p>
      <w:pPr>
        <w:sectPr>
          <w:headerReference w:type="default" r:id="rId13"/>
          <w:footerReference w:type="default" r:id="rId14"/>
          <w:footerReference w:type="first" r:id="rId15"/>
          <w:type w:val="nextPage"/>
          <w:pgSz w:w="11906" w:h="16838"/>
          <w:pgMar w:left="1134" w:right="567" w:header="720" w:top="720" w:footer="720" w:bottom="1134" w:gutter="0"/>
          <w:pgNumType w:fmt="decimal"/>
          <w:formProt w:val="false"/>
          <w:titlePg/>
          <w:textDirection w:val="lrTb"/>
          <w:docGrid w:type="default" w:linePitch="600" w:charSpace="40960"/>
        </w:sect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КНС  «Свердлова» ул. Свердлова.</w:t>
      </w:r>
    </w:p>
    <w:p>
      <w:pPr>
        <w:pStyle w:val="Style67"/>
        <w:rPr/>
      </w:pPr>
      <w:bookmarkStart w:id="85" w:name="_Ref530583612"/>
      <w:r>
        <w:rPr>
          <w:rStyle w:val="Style9"/>
          <w:rFonts w:ascii="Liberation Serif" w:hAnsi="Liberation Serif"/>
        </w:rPr>
        <w:t>Таблица 3</w:t>
      </w:r>
      <w:bookmarkEnd w:id="85"/>
      <w:r>
        <w:rPr>
          <w:rStyle w:val="Style9"/>
          <w:rFonts w:ascii="Liberation Serif" w:hAnsi="Liberation Serif"/>
        </w:rPr>
        <w:t>. Характеристики насосного оборудования</w:t>
      </w:r>
    </w:p>
    <w:tbl>
      <w:tblPr>
        <w:tblW w:w="14927" w:type="dxa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747"/>
        <w:gridCol w:w="1475"/>
        <w:gridCol w:w="1294"/>
        <w:gridCol w:w="1273"/>
        <w:gridCol w:w="1431"/>
        <w:gridCol w:w="1453"/>
        <w:gridCol w:w="1182"/>
        <w:gridCol w:w="1073"/>
        <w:gridCol w:w="1702"/>
        <w:gridCol w:w="1593"/>
      </w:tblGrid>
      <w:tr>
        <w:trPr>
          <w:trHeight w:val="244" w:hRule="atLeast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7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Наименование узла системы водоснабжения</w:t>
            </w:r>
          </w:p>
        </w:tc>
        <w:tc>
          <w:tcPr>
            <w:tcW w:w="10883" w:type="dxa"/>
            <w:gridSpan w:val="8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Насосное оборудование КНС</w:t>
            </w:r>
          </w:p>
        </w:tc>
        <w:tc>
          <w:tcPr>
            <w:tcW w:w="15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>
        <w:trPr>
          <w:trHeight w:val="734" w:hRule="atLeast"/>
        </w:trPr>
        <w:tc>
          <w:tcPr>
            <w:tcW w:w="70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Марка насоса</w:t>
            </w:r>
          </w:p>
        </w:tc>
        <w:tc>
          <w:tcPr>
            <w:tcW w:w="12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Состояние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Год установки</w:t>
            </w:r>
          </w:p>
        </w:tc>
        <w:tc>
          <w:tcPr>
            <w:tcW w:w="143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Фактическая подача, м</w:t>
            </w:r>
            <w:r>
              <w:rPr>
                <w:rStyle w:val="Style9"/>
                <w:rFonts w:ascii="Liberation Serif" w:hAnsi="Liberation Serif"/>
                <w:b/>
                <w:bCs/>
                <w:color w:val="000000"/>
                <w:position w:val="20"/>
                <w:sz w:val="13"/>
                <w:sz w:val="20"/>
                <w:szCs w:val="20"/>
                <w:lang w:eastAsia="ru-RU"/>
              </w:rPr>
              <w:t>3</w:t>
            </w:r>
            <w:r>
              <w:rPr>
                <w:rStyle w:val="Style9"/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145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Фактический напор, м</w:t>
            </w:r>
          </w:p>
        </w:tc>
        <w:tc>
          <w:tcPr>
            <w:tcW w:w="118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Мощность э/д, кВт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Часов работы в год</w:t>
            </w: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Расход электроэнергии, тыс.кВт.ч/ год</w:t>
            </w:r>
          </w:p>
        </w:tc>
        <w:tc>
          <w:tcPr>
            <w:tcW w:w="159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Наличие частотного регулирования</w:t>
            </w:r>
          </w:p>
        </w:tc>
      </w:tr>
      <w:tr>
        <w:trPr>
          <w:trHeight w:val="489" w:hRule="atLeast"/>
        </w:trPr>
        <w:tc>
          <w:tcPr>
            <w:tcW w:w="70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4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Очистные сооружения</w:t>
            </w:r>
          </w:p>
        </w:tc>
        <w:tc>
          <w:tcPr>
            <w:tcW w:w="14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СМ 200-150-315 б-4</w:t>
            </w:r>
          </w:p>
        </w:tc>
        <w:tc>
          <w:tcPr>
            <w:tcW w:w="12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удовл.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43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45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5110</w:t>
            </w: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281050</w:t>
            </w:r>
          </w:p>
        </w:tc>
        <w:tc>
          <w:tcPr>
            <w:tcW w:w="159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>
        <w:trPr>
          <w:trHeight w:val="489" w:hRule="atLeast"/>
        </w:trPr>
        <w:tc>
          <w:tcPr>
            <w:tcW w:w="7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4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СМ 200-150-315 б-4</w:t>
            </w:r>
          </w:p>
        </w:tc>
        <w:tc>
          <w:tcPr>
            <w:tcW w:w="12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среднее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45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5500</w:t>
            </w: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281050</w:t>
            </w:r>
          </w:p>
        </w:tc>
        <w:tc>
          <w:tcPr>
            <w:tcW w:w="1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489" w:hRule="atLeast"/>
        </w:trPr>
        <w:tc>
          <w:tcPr>
            <w:tcW w:w="7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4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СМ 200-150-400 б-4</w:t>
            </w:r>
          </w:p>
        </w:tc>
        <w:tc>
          <w:tcPr>
            <w:tcW w:w="12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среднее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45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8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2800</w:t>
            </w: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210000</w:t>
            </w:r>
          </w:p>
        </w:tc>
        <w:tc>
          <w:tcPr>
            <w:tcW w:w="1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466" w:hRule="atLeast"/>
        </w:trPr>
        <w:tc>
          <w:tcPr>
            <w:tcW w:w="7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4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СМ 200-150-400 б-4</w:t>
            </w:r>
          </w:p>
        </w:tc>
        <w:tc>
          <w:tcPr>
            <w:tcW w:w="12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среднее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45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8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1400</w:t>
            </w: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105000</w:t>
            </w:r>
          </w:p>
        </w:tc>
        <w:tc>
          <w:tcPr>
            <w:tcW w:w="1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489" w:hRule="atLeast"/>
        </w:trPr>
        <w:tc>
          <w:tcPr>
            <w:tcW w:w="70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4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КНС  «Пролетарская»   ул.  Пролетарская, 40</w:t>
            </w:r>
          </w:p>
        </w:tc>
        <w:tc>
          <w:tcPr>
            <w:tcW w:w="14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СМ 200-150-315 б-4</w:t>
            </w:r>
          </w:p>
        </w:tc>
        <w:tc>
          <w:tcPr>
            <w:tcW w:w="12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среднее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4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8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2800</w:t>
            </w: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154000</w:t>
            </w:r>
          </w:p>
        </w:tc>
        <w:tc>
          <w:tcPr>
            <w:tcW w:w="1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512" w:hRule="atLeast"/>
        </w:trPr>
        <w:tc>
          <w:tcPr>
            <w:tcW w:w="7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4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СМ 200-150-315 б-4</w:t>
            </w:r>
          </w:p>
        </w:tc>
        <w:tc>
          <w:tcPr>
            <w:tcW w:w="12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плохое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8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2800</w:t>
            </w: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154000</w:t>
            </w:r>
          </w:p>
        </w:tc>
        <w:tc>
          <w:tcPr>
            <w:tcW w:w="1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489" w:hRule="atLeast"/>
        </w:trPr>
        <w:tc>
          <w:tcPr>
            <w:tcW w:w="70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4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КНС  «Боровая»  ул. Боровая, 1"а"</w:t>
            </w:r>
          </w:p>
        </w:tc>
        <w:tc>
          <w:tcPr>
            <w:tcW w:w="14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СМ 150-125-315 а-6</w:t>
            </w:r>
          </w:p>
        </w:tc>
        <w:tc>
          <w:tcPr>
            <w:tcW w:w="12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удовл.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4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1400</w:t>
            </w: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15400</w:t>
            </w:r>
          </w:p>
        </w:tc>
        <w:tc>
          <w:tcPr>
            <w:tcW w:w="1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489" w:hRule="atLeast"/>
        </w:trPr>
        <w:tc>
          <w:tcPr>
            <w:tcW w:w="7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4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СМ 150-125-315 а-6</w:t>
            </w:r>
          </w:p>
        </w:tc>
        <w:tc>
          <w:tcPr>
            <w:tcW w:w="12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удовл.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4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8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1400</w:t>
            </w: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15400</w:t>
            </w:r>
          </w:p>
        </w:tc>
        <w:tc>
          <w:tcPr>
            <w:tcW w:w="1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91" w:hRule="atLeast"/>
        </w:trPr>
        <w:tc>
          <w:tcPr>
            <w:tcW w:w="70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4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КНС «Северная» ул. Северная, 65</w:t>
            </w:r>
          </w:p>
        </w:tc>
        <w:tc>
          <w:tcPr>
            <w:tcW w:w="14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СМ 100-65-200-4</w:t>
            </w:r>
          </w:p>
        </w:tc>
        <w:tc>
          <w:tcPr>
            <w:tcW w:w="12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удовл.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4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18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55000</w:t>
            </w:r>
          </w:p>
        </w:tc>
        <w:tc>
          <w:tcPr>
            <w:tcW w:w="1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79" w:hRule="atLeast"/>
        </w:trPr>
        <w:tc>
          <w:tcPr>
            <w:tcW w:w="7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4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СМ 100-65-200-4</w:t>
            </w:r>
          </w:p>
        </w:tc>
        <w:tc>
          <w:tcPr>
            <w:tcW w:w="12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удовл.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4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8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55000</w:t>
            </w:r>
          </w:p>
        </w:tc>
        <w:tc>
          <w:tcPr>
            <w:tcW w:w="1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44" w:hRule="atLeast"/>
        </w:trPr>
        <w:tc>
          <w:tcPr>
            <w:tcW w:w="70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4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КНС  «Свердлова» ул. Свердлова, 48 "а"</w:t>
            </w:r>
          </w:p>
        </w:tc>
        <w:tc>
          <w:tcPr>
            <w:tcW w:w="14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СМ 100-65-200-4</w:t>
            </w:r>
          </w:p>
        </w:tc>
        <w:tc>
          <w:tcPr>
            <w:tcW w:w="12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плохое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5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18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1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44" w:hRule="atLeast"/>
        </w:trPr>
        <w:tc>
          <w:tcPr>
            <w:tcW w:w="7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4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СМ 100-65-200-4</w:t>
            </w:r>
          </w:p>
        </w:tc>
        <w:tc>
          <w:tcPr>
            <w:tcW w:w="12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плохое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8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1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33" w:hRule="atLeast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4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Очистные сооружения</w:t>
            </w:r>
          </w:p>
        </w:tc>
        <w:tc>
          <w:tcPr>
            <w:tcW w:w="14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ТВ 50-1,6</w:t>
            </w:r>
          </w:p>
        </w:tc>
        <w:tc>
          <w:tcPr>
            <w:tcW w:w="12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среднее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8760</w:t>
            </w: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 w:val="20"/>
                <w:szCs w:val="20"/>
                <w:lang w:eastAsia="ru-RU"/>
              </w:rPr>
              <w:t>700800</w:t>
            </w:r>
          </w:p>
        </w:tc>
        <w:tc>
          <w:tcPr>
            <w:tcW w:w="1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467" w:hRule="atLeast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4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5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7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2028900</w:t>
            </w:r>
          </w:p>
        </w:tc>
        <w:tc>
          <w:tcPr>
            <w:tcW w:w="159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>
      <w:pPr>
        <w:sectPr>
          <w:headerReference w:type="default" r:id="rId16"/>
          <w:footerReference w:type="default" r:id="rId17"/>
          <w:type w:val="nextPage"/>
          <w:pgSz w:orient="landscape" w:w="16838" w:h="11906"/>
          <w:pgMar w:left="1134" w:right="1134" w:header="0" w:top="720" w:footer="720" w:bottom="567" w:gutter="0"/>
          <w:pgNumType w:fmt="decimal"/>
          <w:formProt w:val="false"/>
          <w:textDirection w:val="lrTb"/>
          <w:docGrid w:type="default" w:linePitch="600" w:charSpace="40960"/>
        </w:sectPr>
      </w:pPr>
    </w:p>
    <w:p>
      <w:pPr>
        <w:pStyle w:val="23"/>
        <w:rPr/>
      </w:pPr>
      <w:r>
        <w:rPr/>
        <w:t xml:space="preserve">1.6. </w:t>
      </w:r>
      <w:bookmarkStart w:id="86" w:name="_Toc390696029"/>
      <w:bookmarkStart w:id="87" w:name="_Toc390696241"/>
      <w:bookmarkStart w:id="88" w:name="_Toc401067975"/>
      <w:bookmarkStart w:id="89" w:name="_Toc531704223"/>
      <w:bookmarkStart w:id="90" w:name="_Toc531598946"/>
      <w:r>
        <w:rPr/>
        <w:t>Оценка безопасности и надежности объектов централизованной системы водоотведения и их управляемости</w:t>
      </w:r>
      <w:bookmarkEnd w:id="86"/>
      <w:bookmarkEnd w:id="87"/>
      <w:bookmarkEnd w:id="88"/>
      <w:bookmarkEnd w:id="89"/>
      <w:bookmarkEnd w:id="90"/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Надежность и экологическая безопасность являются основными требованиями, которые предъявляются современным системам водоотведения. Объектами оценки надежности являются как система водоотведения в целом, так и отдельные составляющие системы: самотечные и напорные трубопроводы; насосные станции; очистные сооружения.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Оценка надежности производится по свойствам безотказности, долговечности, ремонтопригодности, управляемости.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По данным МУП «Водоканал Камышлов» за 2017 год на территории Камышловского городского округа была зафиксирована одна авария, которая привела к отключению абонентов систем централизованного водоотведения.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Сбросов неочищенных сточных вод из системы централизованной канализации в водные объекты, рельеф и территорию поселения не допускается. Но очистка сточных вод недостаточна из-за ветхости оборудования канализационных очистных сооружений.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 xml:space="preserve">В условиях капитального строительства на территории городского округа приоритетными направлениями развития системы водоотведения являются строительство новых сетей канализации, повышение качества очистки воды (реконструкция и строительство канализационных очистных сооружений) и надежности работы сетей и сооружений.  Практика показывает, что трубопроводные сети являются, не только наиболее функционально значимым элементом системы канализации, но и наиболее уязвимым с точки зрения надежности.  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Основными техническими проблемами эксплуатации сетей и сооружений водоотведения являются: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старение сетей водоотведения, увеличение протяженности сетей с износом;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износ и высокая энергоемкость насосного агрегата на канализационных насосных станциях.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износ оборудования на сооружения очистки сточных вод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Скорость износа (интенсивность коррозии) лотковой части металлических трубопроводов без внутреннего защитного покрытия достигает до 1 мм в год (безопасная интенсивность – 0,04 мм/год - п. 6.16 «Методических рекомендаций по определению технического состояния систем теплоснабжения, горячего водоснабжения, холодного водоснабжения и водоотведения». Утв.: Минрегионразвития РФ 25апреля 2012 г.)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Интенсивность коррозии (газовой) железобетонных трубопроводов без внутренней защиты – 5,5 мм в год, что определяет вероятность безотказной работы трубопровода не более 20 лет (при эффективном сроке эксплуатации ≥ 50 лет).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Для вновь прокладываемых участков канализационных трубопроводов наиболее надежным и долговечным материалом является полиэтилен. 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Обеспечение надежности работы насосных станций обуславливается, в первую очередь, бесперебойностью энергоснабжения и снижением количества отказов насосного оборудования.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Основными факторами, оказывающими негативное влияние на надежность и безопасность очистных канализационных сооружений, является: перебои в энергоснабжении; поступление со сточными водами токсических загрязняющих веществ (залповые поступления нефтепродуктов, мазута, солей тяжелых металлов и т.п.); залповые поступления ливневых сточных вод.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При эксплуатации канализационных очистных сооружений наиболее чувствительными к различным дестабилизирующим факторам являются сооружения биологической очистки.  Основные причины, приводящие к нарушению биохимических процессов при эксплуатации канализационных очистных сооружений: перебои в энергоснабжении; поступление токсичных веществ, ингибирующих процесс биологической очистки.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Управляемость процессами безопасности и надежности функционирования объектов централизованной системы водоотведения обеспечивается: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организацией службы эксплуатации системы водоотведения в соответствии с нормативами «Правил технической эксплуатации»;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организацией диспетчерской службы по контролю за технологическими процессами водоотведения, ликвидации повреждений и отказов на объектах системы водоотведения;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организацией надлежащего технологического и лабораторного контроля процессов отведения и очистки сточных вод мониторинга влияния очищенных сточных вод на водоприёмник.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регулярным обучением и повышением квалификации персонала;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регулярной актуализацией инструкций и планов ликвидации аварийных ситуаций, тренировочных занятий по действиям персонала в нештатных ситуациях;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внедрение системы менеджмента качества в соответствии с требованиями      ISO 9001: 2008 на объектах системы водоотведения.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Надёжность системы водоотведения Камышловского городского округа характеризуется, как малонадежная.</w:t>
      </w:r>
    </w:p>
    <w:p>
      <w:pPr>
        <w:pStyle w:val="Style67"/>
        <w:rPr/>
      </w:pPr>
      <w:r>
        <w:rPr>
          <w:rStyle w:val="Style9"/>
          <w:rFonts w:ascii="Liberation Serif" w:hAnsi="Liberation Serif"/>
        </w:rPr>
        <w:t xml:space="preserve">Целевые показатели работы системы водоотведения Камышловского городского округа в ближайшей ретроспективе приведены в </w:t>
      </w:r>
      <w:r>
        <w:rPr/>
        <w:fldChar w:fldCharType="begin"/>
      </w:r>
      <w:r>
        <w:rPr/>
        <w:instrText> REF _Ref530749056 \h </w:instrText>
      </w:r>
      <w:r>
        <w:rPr/>
        <w:fldChar w:fldCharType="separate"/>
      </w:r>
      <w:r>
        <w:rPr/>
      </w:r>
      <w:r>
        <w:rPr/>
        <w:fldChar w:fldCharType="end"/>
      </w:r>
      <w:r>
        <w:rPr>
          <w:rStyle w:val="Style9"/>
          <w:rFonts w:ascii="Liberation Serif" w:hAnsi="Liberation Serif"/>
        </w:rPr>
        <w:t>.</w:t>
      </w:r>
    </w:p>
    <w:p>
      <w:pPr>
        <w:pStyle w:val="Style67"/>
        <w:rPr/>
      </w:pPr>
      <w:r>
        <w:rPr/>
      </w:r>
      <w:bookmarkStart w:id="91" w:name="_Ref530749056"/>
      <w:bookmarkStart w:id="92" w:name="_Ref530749056"/>
      <w:r>
        <w:br w:type="page"/>
      </w:r>
    </w:p>
    <w:p>
      <w:pPr>
        <w:pStyle w:val="Style67"/>
        <w:rPr/>
      </w:pPr>
      <w:bookmarkStart w:id="93" w:name="_Ref530749056"/>
      <w:r>
        <w:rPr>
          <w:rStyle w:val="Style9"/>
          <w:rFonts w:ascii="Liberation Serif" w:hAnsi="Liberation Serif"/>
        </w:rPr>
        <w:t>Таблица 4</w:t>
      </w:r>
      <w:bookmarkEnd w:id="93"/>
      <w:r>
        <w:rPr>
          <w:rStyle w:val="Style9"/>
          <w:rFonts w:ascii="Liberation Serif" w:hAnsi="Liberation Serif"/>
        </w:rPr>
        <w:t>. Целевые показатели существующего состояния</w:t>
      </w:r>
    </w:p>
    <w:tbl>
      <w:tblPr>
        <w:tblW w:w="10040" w:type="dxa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6"/>
        <w:gridCol w:w="3521"/>
        <w:gridCol w:w="1363"/>
        <w:gridCol w:w="1602"/>
        <w:gridCol w:w="1658"/>
      </w:tblGrid>
      <w:tr>
        <w:trPr>
          <w:trHeight w:val="765" w:hRule="atLeast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5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Индикаторы</w:t>
            </w:r>
          </w:p>
        </w:tc>
        <w:tc>
          <w:tcPr>
            <w:tcW w:w="13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Размерность</w:t>
            </w:r>
          </w:p>
        </w:tc>
        <w:tc>
          <w:tcPr>
            <w:tcW w:w="16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Базовый показатель 2013г.</w:t>
            </w:r>
          </w:p>
        </w:tc>
        <w:tc>
          <w:tcPr>
            <w:tcW w:w="1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Фактический показатель 2017г.</w:t>
            </w:r>
          </w:p>
        </w:tc>
      </w:tr>
      <w:tr>
        <w:trPr>
          <w:trHeight w:val="765" w:hRule="atLeast"/>
        </w:trPr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1. Показатели качества воды</w:t>
            </w:r>
          </w:p>
        </w:tc>
        <w:tc>
          <w:tcPr>
            <w:tcW w:w="352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1. Удельный вес проб сточных вод после очистки,не соответствующим требованиям ПДК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165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80,0</w:t>
            </w:r>
          </w:p>
        </w:tc>
      </w:tr>
      <w:tr>
        <w:trPr>
          <w:trHeight w:val="510" w:hRule="atLeast"/>
        </w:trPr>
        <w:tc>
          <w:tcPr>
            <w:tcW w:w="189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2. Показатели надежности и бесперебойности</w:t>
            </w:r>
          </w:p>
        </w:tc>
        <w:tc>
          <w:tcPr>
            <w:tcW w:w="352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1. Протяженность системы водоотведения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165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64,0</w:t>
            </w:r>
          </w:p>
        </w:tc>
      </w:tr>
      <w:tr>
        <w:trPr>
          <w:trHeight w:val="510" w:hRule="atLeast"/>
        </w:trPr>
        <w:tc>
          <w:tcPr>
            <w:tcW w:w="189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52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2. Количество аварий, приводящих к отключению работы системы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ед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5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189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52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3. Износ водопроводных сетей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165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80,0</w:t>
            </w:r>
          </w:p>
        </w:tc>
      </w:tr>
      <w:tr>
        <w:trPr>
          <w:trHeight w:val="510" w:hRule="atLeast"/>
        </w:trPr>
        <w:tc>
          <w:tcPr>
            <w:tcW w:w="189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52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4. Количество канализационных сетей, требующих замены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165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30,0</w:t>
            </w:r>
          </w:p>
        </w:tc>
      </w:tr>
      <w:tr>
        <w:trPr>
          <w:trHeight w:val="930" w:hRule="atLeast"/>
        </w:trPr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3. Показатели качества обслуживания</w:t>
            </w:r>
          </w:p>
        </w:tc>
        <w:tc>
          <w:tcPr>
            <w:tcW w:w="352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1. Обеспеченность населения централизованным водоснабжением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65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65,0</w:t>
            </w:r>
          </w:p>
        </w:tc>
      </w:tr>
      <w:tr>
        <w:trPr>
          <w:trHeight w:val="1140" w:hRule="atLeast"/>
        </w:trPr>
        <w:tc>
          <w:tcPr>
            <w:tcW w:w="1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4. Показатели эффективности использования ресурсов</w:t>
            </w:r>
          </w:p>
        </w:tc>
        <w:tc>
          <w:tcPr>
            <w:tcW w:w="3521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1. Удельный расход электроэнергии на подачу воды в сеть</w:t>
            </w:r>
          </w:p>
        </w:tc>
        <w:tc>
          <w:tcPr>
            <w:tcW w:w="136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кВт·ч/м</w:t>
            </w:r>
            <w:r>
              <w:rPr>
                <w:rStyle w:val="Style9"/>
                <w:rFonts w:ascii="Liberation Serif" w:hAnsi="Liberation Serif"/>
                <w:position w:val="24"/>
                <w:sz w:val="16"/>
              </w:rPr>
              <w:t>3</w:t>
            </w:r>
          </w:p>
        </w:tc>
        <w:tc>
          <w:tcPr>
            <w:tcW w:w="160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5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1,074</w:t>
            </w:r>
          </w:p>
        </w:tc>
      </w:tr>
    </w:tbl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</w:r>
    </w:p>
    <w:p>
      <w:pPr>
        <w:pStyle w:val="23"/>
        <w:rPr/>
      </w:pPr>
      <w:r>
        <w:rPr/>
        <w:t xml:space="preserve">1.7. </w:t>
      </w:r>
      <w:bookmarkStart w:id="94" w:name="_Toc531704224"/>
      <w:bookmarkStart w:id="95" w:name="_Toc531598947"/>
      <w:bookmarkStart w:id="96" w:name="_Toc401067976"/>
      <w:bookmarkStart w:id="97" w:name="_Toc390696242"/>
      <w:bookmarkStart w:id="98" w:name="_Toc390696030"/>
      <w:r>
        <w:rPr/>
        <w:t>Оценка воздействия сбросов сточных вод через централизованную систему водоотведения на окружающую среду</w:t>
      </w:r>
      <w:bookmarkEnd w:id="94"/>
      <w:bookmarkEnd w:id="95"/>
      <w:bookmarkEnd w:id="96"/>
      <w:bookmarkEnd w:id="97"/>
      <w:bookmarkEnd w:id="98"/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Сброс в окружающую среду неочищенных и недостаточно очищенных сточных вод является одним из главных факторов, который оказывает негативное влияние на качество воды.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Наиболее опасными техногенными процессами в границах рассматриваемой территории является загрязнения поверхностных и подземных вод.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Гидрохимический состав водных объектов формируется как под влиянием естественных гидрохимических факторов, так и в большей степени под влиянием сброса загрязненных и недостаточно очищенных сточных вод промышленных предприятий, объектов жилищно-коммунального хозяйства, поверхностного стока с площадей водосбора. Нефтепродукты, являясь наиболее распространенными загрязняющими веществами в водных объектах, поступают в них, кроме сточных вод, с поверхностным стоком с урбанизированных территорий.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Сбросы недостаточно очищенных вод, вымывание из почвы удобрений и ядохимикатов способствуют загрязнению рек. Застройка территорий, прокладка автомобильных дорог привели к изменению гидрогеологических условий, рельефа, почвенного покрова; нарушен естественный сток осадков, что способствуют подъему уровня грунтовых вод.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Значительный вклад в загрязнение водных объектов взвешенными веществами и в повышении минерализации воды вносят стихийные природные явления: паводки, оползни, экзогенные процессы, связанные с поднятием уровня грунтовых и подземных вод.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 связи с тем, что канализационные очистные сооружения на территории Камышловского городского округа физически и морально устарели, качество очистки стоков ежегодно снижается и в настоящее время превышает предельно допустимую норму загрязняющих веществ в десятки раз. Это является мощным источником загрязнения окружающей среды.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 соответствии с «Водным кодексом Российской Федерации» от 03.06.2006 № 74-ФЗ для всех водоёмов естественного происхождения вдоль уреза воды устанавливаются водоохранные зоны. Основное назначение водоохранной зоны – защита водного объекта и сложившейся в его пределах экосистемы от деградации. Дополнительно в пределах водоохранных зон по берегам водоёмов выделяются прибрежные защитные полосы, представляющие собой территорию строгого ограничения хозяйственной деятельности.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 соответствии с Водным кодексом в водоохранной зоне запрещено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Хозяйственное использование застроенных территорий, попадающих в водоохранную зону водных объектов, должно вестись при условии обеспечения сохранности водоемов от загрязнения и деградации. На объектах, находящихся в водоохранных зонах и прибрежно-защитных полосах, должны быть предусмотрены мероприятия по перехвату и очистке поверхностных стоков.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На время строительства жилых комплексов ожидается негативное воздействие на окружающую среду загрязненным поверхностным стоком от используемой строительной техники.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При проведении землеройных работ наблюдается значительное загрязнение грунта горюче-смазочными материалами на путях загрузки и выгрузки грунта, в местах стоянок землеройно-транспортных и др. дорожно-строительных машин.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Дорожно-строительные машины характеризуются значительными потерями горюче-смазочных материалов (например, для бульдозера потери составляют 5-30%).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 период строительства концентрация загрязняющих веществ может составлять: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взвешенных веществ до 2000-2500 мг/л;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нефтепродуктов 3-5 мг/л.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Для минимизации возникающего ущерба площадки для стоянки строительной техники необходимо обваловывать грунтом. Для предотвращения загрязнения территории поверхностным стоком необходимо предусмотреть устройство ливневой канализации на территории строительной площадки с последующим отводом ливнестока в заглублённую аккумулирующую металлическую ёмкость, осадок из которой по мере накопления должен утилизироваться. При обеспечении надёжной гидроизоляции системы отвода поверхностного стока и своевременной откачке осадка из приёмной ёмкости неблагоприятного воздействия на окружающую среду не произойдёт.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На время строительных работ на месте их проведения должны быть запрещены свалки мусора и отходов производства, мойка и ремонт автомобилей и другой строительной техники.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После введения в эксплуатацию планируемой жилой застройки основными загрязнителями поверхностного стока будут: продукты эрозии, смываемые с открытых грунтовых поверхностей, пыль, бытовой мусор, вымываемые компоненты дорожных покрытий, а также нефтепродукты, попадающие на поверхность водосбора в результате неисправностей автотранспорта и другой техники.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Необходимо проводить мероприятия по восстановлению загрязненных водоемов, полностью устраняя причиненный ущерб.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    настоящий момент бытовые стоки — это колоссальная проблема как с точки зрения экологии и окружающей среды, так и с экономической стороны. Из хозяйственных бытовых стоков в гидросферу поступают органические вещества, которые разлагаются колониями потребляющих кислород бактерий. При необходимом доступе воздуха аэробные бактерии перерабатывают стоки в экологически безвредные вещества. При ограниченном доступе кислорода к нечистотам снижается жизнедеятельность аэробных бактерий, вследствие чего развиваются анаэробные бактерии, подразумевающие процесс гниения.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 хозяйственно-бытовых стоках, которые не были достаточно глубоко очищены или не были подвержены биологической очистке вовсе, могут содержаться опасные для человека болезнетворные вирусы и бактерии, при попадании которых в питьевую воду могут развиться опасные заболевания.  Фрукты и овощи, удобренные неочищенными отходами бытовых сточных вод, также могут быть заражены. Наиболее частой причиной возникновения брюшного тифа из-за употребления водных беспозвоночных, например, мидий и устриц, является заражение мест их обитания неочищенными сточными водами, в первую очередь канализационными стоками.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С нечистотами из хозяйственно-бытовых стоков в воду также попадают пестициды, фенолы, поверхностно-активные вещества (к примеру, моющие средства). Их процесс разложения протекает крайне медленно, некоторые вещества не разлагаются вовсе. По пищевым цепям из организмов водных животных и рыб эти вещества попадают в человеческий организм, негативно воздействуют на здоровье человека, что в дальнейшем может привести к различным острым хроническим и инфекционным заболеваниям.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 условиях интенсивной хозяйственной деятельности на территории Камышловского городского округа поверхностный сток, поступающий с селитебной и промышленной территорий, оказывает большое влияние на качество воды. Несмотря на резкое увеличение расхода воды в водотоках в периоды весеннего половодья и летне-осенних дождей, концентрация взвешенных веществ и нефтепродуктов в поверхностном стоке оказывается выше, чем в межень за счёт их выноса талым и дождевым стоками с водосбора.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К обострению проблемы загрязнения приведёт рост расходов поверхностного стока, связанный с намечаемым увеличением площадей застройки, и, следовательно, увеличением площадей с твёрдым покрытием, ростом автомобильного парка. Ещё одним аспектом влияния транспорта является зимняя расчистка дорог. Загрязнённый нефтепродуктами и солями снег складируется вдоль дорог и в период снеготаяния является ещё одним загрязнителем поверхностных вод и грунтов.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Основными видами загрязняющих веществ, содержащихся в дождевых и талых сточных водах, являются: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плавающий мусор (листья, ветки, бумажные и пластмассовые упаковки и др.);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взвешенные вещества (пыль, частицы грунта);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нефтепродукты;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органические вещества (продукты разложения растительного и животного происхождения);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соли (хлориды, в основном содержатся в талом стоке и во время оттепелей);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химические вещества (их состав определяется наличием и профилем предприятий).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Концентрация загрязняющих веществ изменяется в широком диапазоне в течение сезонов года и зависит от многих факторов: степени благоустройства водосборной территории, режима её уборки, грунтовых условий, интенсивности движения транспорта, интенсивности дождя, наличия и состояния сети дождевой канализации.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Расчётная концентрация основных видов загрязняющих веществ, согласно </w:t>
        <w:br/>
        <w:t>ТСН 40-302-2001/МО «Дождевая канализация. Организация сбора, очистки и сброса поверхностного стока», составляет: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в дождевом стоке с территорий жилой застройки ~ 500 мг/л взвешенных веществ и ~ 10 мг/л нефтепродуктов, в талом стоке ~ 1500 мг/л взвешенных веществ и </w:t>
        <w:br/>
        <w:t>~ 30 мг/л нефтепродуктов;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с магистральных дорог и улиц с интенсивным движением транспорта в дождевом стоке ~ 60 мг/л взвешенных веществ и ~ 50 мг/л нефтепродуктов.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 условиях интенсивной хозяйственной деятельности на водосборе рек поверхностный сток с селитебной и промышленной территорий играет большую роль в формировании качества воды. Концентрация загрязняющих веществ в поверхностном стоке изменяется в широком диапазоне в течение сезонов года и зависит от многих факторов: степени благоустройства водосборной территории, режима уборки, грунтовых условий, интенсивности дождя, интенсивности движения транспорта.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Присутствие промышленных сточных вод делает состав воды очень разнообразным. Во многих случаях непосредственное попадание сточных вод в водоем может привести к гибели живых организмов, составляющих биоценоз.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Вредное воздействие токсичных веществ, попадает в водоемы, усиливается за счет так называемого кумулятивного эффекта, заключается в прогрессирующем увеличении содержания соединений в каждой последовательной звене пищевой цепочки Так, в фитопланктоне содержание вредного соединения оказывается вдесятеро выше, чем у воде, в зоопланктоне (личинки, мелкие рачки и т.п.) - еще в пятеро, в рыбе, которая питается зоопланктоном - еще в десять раз.</w:t>
      </w:r>
    </w:p>
    <w:p>
      <w:pPr>
        <w:pStyle w:val="23"/>
        <w:rPr/>
      </w:pPr>
      <w:r>
        <w:rPr/>
        <w:t xml:space="preserve">1.8. </w:t>
      </w:r>
      <w:bookmarkStart w:id="99" w:name="_Toc390696248"/>
      <w:bookmarkStart w:id="100" w:name="_Toc390696036"/>
      <w:bookmarkStart w:id="101" w:name="_Toc531704225"/>
      <w:bookmarkStart w:id="102" w:name="_Toc531598948"/>
      <w:bookmarkStart w:id="103" w:name="_Toc401067979"/>
      <w:r>
        <w:rPr/>
        <w:t>Описание существующих технических и технологических проблем системы водоотведения</w:t>
      </w:r>
      <w:bookmarkEnd w:id="99"/>
      <w:bookmarkEnd w:id="100"/>
      <w:bookmarkEnd w:id="101"/>
      <w:bookmarkEnd w:id="102"/>
      <w:bookmarkEnd w:id="103"/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Основные технические проблемы сетей канализации: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старение сетей канализации и колодцев, увеличение протяженности сетей с износом 80% и в связи с этим увеличение роста аварийности;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отсутствие централизованного водоотведения в части районов городского округа;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низкая энергоемкость оборудования насосного оборудования КНС;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Основные технические проблемы очистных сооружений канализации: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отсутствие корректного учета поступающих объемов сточных вод;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несоответствие технологии современным требованиям по обеспечению качества очистки сточных вод (аэротенки не оборудованы зонами денитрификации, вторичные отстойники не оборудованы эффективной системой распределения, отсутствуют сооружения доочистки сточных вод от биогенных веществ);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для обеззараживания применяется опасный реагент – гипохлорит натрия марки «А»;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отсутствует технология сушки осадка, обезвоживание сводится только к естественному высушиванию на иловых полях;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технологически не решен вопрос с дальнейшим использованием осадка с очистных сооружений;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отсутствие охранной санитарно-защитной зоны вокруг очистных сооружений.</w:t>
      </w:r>
      <w:r>
        <w:br w:type="page"/>
      </w:r>
    </w:p>
    <w:p>
      <w:pPr>
        <w:pStyle w:val="23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1.9. </w:t>
      </w:r>
      <w:bookmarkStart w:id="104" w:name="_Toc531704226"/>
      <w:bookmarkStart w:id="105" w:name="_Toc531598949"/>
      <w:r>
        <w:rPr>
          <w:rFonts w:ascii="Liberation Serif" w:hAnsi="Liberation Serif"/>
        </w:rPr>
        <w:t>Описание территорий муниципального образования, не охваченных централизованной системой водоотведения</w:t>
      </w:r>
      <w:bookmarkEnd w:id="104"/>
      <w:bookmarkEnd w:id="105"/>
    </w:p>
    <w:p>
      <w:pPr>
        <w:pStyle w:val="Style49"/>
        <w:tabs>
          <w:tab w:val="left" w:pos="142" w:leader="none"/>
        </w:tabs>
        <w:ind w:right="0" w:firstLine="567"/>
        <w:rPr>
          <w:rFonts w:ascii="Liberation Serif" w:hAnsi="Liberation Serif"/>
          <w:b w:val="false"/>
          <w:b w:val="false"/>
        </w:rPr>
      </w:pPr>
      <w:r>
        <w:rPr>
          <w:rFonts w:ascii="Liberation Serif" w:hAnsi="Liberation Serif"/>
          <w:b w:val="false"/>
        </w:rPr>
      </w:r>
    </w:p>
    <w:p>
      <w:pPr>
        <w:sectPr>
          <w:headerReference w:type="default" r:id="rId18"/>
          <w:footerReference w:type="default" r:id="rId19"/>
          <w:footerReference w:type="first" r:id="rId20"/>
          <w:type w:val="nextPage"/>
          <w:pgSz w:w="11906" w:h="16838"/>
          <w:pgMar w:left="1134" w:right="567" w:header="720" w:top="720" w:footer="720" w:bottom="1134" w:gutter="0"/>
          <w:pgNumType w:fmt="decimal"/>
          <w:formProt w:val="false"/>
          <w:titlePg/>
          <w:textDirection w:val="lrTb"/>
          <w:docGrid w:type="default" w:linePitch="600" w:charSpace="40960"/>
        </w:sect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 xml:space="preserve">Централизованным водоотведением обеспечено 65% жилого фонда городского округа. В городе имеется часть микрорайонов, в которых нет централизованных сетей канализации. Вывоз сточных вод осуществляется автотранспортной техникой. Система централизованного водоотведения предусмотрена в центральной части города, частично канализованы Северная и Восточные части города. Графическое отображение указанных районов (области, выделенные синим) представлено на рисунке </w:t>
      </w:r>
      <w:r>
        <w:rPr>
          <w:rStyle w:val="Style9"/>
          <w:rFonts w:ascii="Liberation Serif" w:hAnsi="Liberation Serif"/>
        </w:rPr>
        <w:fldChar w:fldCharType="begin"/>
      </w:r>
      <w:r>
        <w:rPr>
          <w:rStyle w:val="Style9"/>
          <w:rFonts w:ascii="Liberation Serif" w:hAnsi="Liberation Serif"/>
        </w:rPr>
        <w:instrText> REF _Ref530584069 \h </w:instrText>
      </w:r>
      <w:r>
        <w:rPr>
          <w:rStyle w:val="Style9"/>
          <w:rFonts w:ascii="Liberation Serif" w:hAnsi="Liberation Serif"/>
        </w:rPr>
        <w:fldChar w:fldCharType="separate"/>
      </w:r>
      <w:r>
        <w:rPr>
          <w:rStyle w:val="Style9"/>
          <w:rFonts w:ascii="Liberation Serif" w:hAnsi="Liberation Serif"/>
        </w:rPr>
        <w:t>Рисунок 3</w:t>
      </w:r>
      <w:r>
        <w:rPr>
          <w:rStyle w:val="Style9"/>
          <w:rFonts w:ascii="Liberation Serif" w:hAnsi="Liberation Serif"/>
        </w:rPr>
        <w:fldChar w:fldCharType="end"/>
      </w:r>
      <w:r>
        <w:rPr>
          <w:rStyle w:val="Style9"/>
          <w:rFonts w:ascii="Liberation Serif" w:hAnsi="Liberation Serif"/>
        </w:rPr>
        <w:t>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</w:r>
    </w:p>
    <w:p>
      <w:pPr>
        <w:pStyle w:val="Style66"/>
        <w:rPr/>
      </w:pPr>
      <w:r>
        <w:rPr>
          <w:rStyle w:val="Style9"/>
          <w:rFonts w:ascii="Liberation Serif" w:hAnsi="Liberation Serif"/>
          <w:lang w:eastAsia="ru-RU"/>
        </w:rPr>
        <w:drawing>
          <wp:inline distT="0" distB="0" distL="0" distR="0">
            <wp:extent cx="9021445" cy="5295265"/>
            <wp:effectExtent l="0" t="0" r="0" b="0"/>
            <wp:docPr id="6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1445" cy="529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2"/>
          <w:footerReference w:type="default" r:id="rId23"/>
          <w:type w:val="nextPage"/>
          <w:pgSz w:orient="landscape" w:w="16838" w:h="11906"/>
          <w:pgMar w:left="1134" w:right="1134" w:header="0" w:top="720" w:footer="720" w:bottom="567" w:gutter="0"/>
          <w:pgNumType w:fmt="decimal"/>
          <w:formProt w:val="false"/>
          <w:textDirection w:val="lrTb"/>
          <w:docGrid w:type="default" w:linePitch="600" w:charSpace="40960"/>
        </w:sectPr>
        <w:pStyle w:val="Style66"/>
        <w:rPr/>
      </w:pPr>
      <w:bookmarkStart w:id="106" w:name="_Ref530584069"/>
      <w:r>
        <w:rPr>
          <w:rStyle w:val="Style9"/>
          <w:rFonts w:ascii="Liberation Serif" w:hAnsi="Liberation Serif"/>
        </w:rPr>
        <w:t>Рисунок 3</w:t>
      </w:r>
      <w:bookmarkEnd w:id="106"/>
      <w:r>
        <w:rPr>
          <w:rStyle w:val="Style9"/>
          <w:rFonts w:ascii="Liberation Serif" w:hAnsi="Liberation Serif"/>
        </w:rPr>
        <w:t>. Области, не охваченные системой централизованного водоотведения</w:t>
      </w:r>
    </w:p>
    <w:p>
      <w:pPr>
        <w:pStyle w:val="111"/>
        <w:numPr>
          <w:ilvl w:val="0"/>
          <w:numId w:val="0"/>
        </w:numPr>
        <w:tabs>
          <w:tab w:val="clear" w:pos="709"/>
          <w:tab w:val="left" w:pos="-2933" w:leader="none"/>
        </w:tabs>
        <w:ind w:left="701" w:hanging="600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2. </w:t>
      </w:r>
      <w:bookmarkStart w:id="107" w:name="_Toc531704227"/>
      <w:bookmarkStart w:id="108" w:name="_Toc531598950"/>
      <w:bookmarkStart w:id="109" w:name="_Toc401067981"/>
      <w:r>
        <w:rPr>
          <w:rFonts w:ascii="Liberation Serif" w:hAnsi="Liberation Serif"/>
        </w:rPr>
        <w:t>Балансы сточных вод в системе водоотведения</w:t>
      </w:r>
      <w:bookmarkEnd w:id="107"/>
      <w:bookmarkEnd w:id="108"/>
      <w:bookmarkEnd w:id="109"/>
    </w:p>
    <w:p>
      <w:pPr>
        <w:pStyle w:val="23"/>
        <w:rPr/>
      </w:pPr>
      <w:r>
        <w:rPr/>
        <w:t xml:space="preserve">2.1. </w:t>
      </w:r>
      <w:bookmarkStart w:id="110" w:name="_Toc531704228"/>
      <w:bookmarkStart w:id="111" w:name="_Toc531598951"/>
      <w:bookmarkStart w:id="112" w:name="_Toc401067982"/>
      <w:bookmarkStart w:id="113" w:name="_Toc390696251"/>
      <w:bookmarkStart w:id="114" w:name="_Toc390696039"/>
      <w:r>
        <w:rPr/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110"/>
      <w:bookmarkEnd w:id="111"/>
      <w:bookmarkEnd w:id="112"/>
      <w:bookmarkEnd w:id="113"/>
      <w:bookmarkEnd w:id="114"/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Территориально в Камышловском городском округе сложился один основной бассейн канализования. Стоки от жилых районов и промышленных зон города Камышлов поступают на городские очистные сооружения, где подвергаются полной биологической очистке. Сброс очищенных стоков осуществляется в р. Пышма.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 xml:space="preserve"> </w:t>
      </w:r>
      <w:r>
        <w:rPr>
          <w:rStyle w:val="Style9"/>
          <w:rFonts w:ascii="Liberation Serif" w:hAnsi="Liberation Serif"/>
        </w:rPr>
        <w:t xml:space="preserve">Баланс поступления сточных вод в централизованную систему водоотведения и отведения стоков представлен в таблице </w:t>
      </w:r>
      <w:r>
        <w:rPr>
          <w:rStyle w:val="Style9"/>
          <w:rFonts w:ascii="Liberation Serif" w:hAnsi="Liberation Serif"/>
        </w:rPr>
        <w:fldChar w:fldCharType="begin"/>
      </w:r>
      <w:r>
        <w:rPr>
          <w:rStyle w:val="Style9"/>
          <w:rFonts w:ascii="Liberation Serif" w:hAnsi="Liberation Serif"/>
        </w:rPr>
        <w:instrText> REF _Ref530749223 \h </w:instrText>
      </w:r>
      <w:r>
        <w:rPr>
          <w:rStyle w:val="Style9"/>
          <w:rFonts w:ascii="Liberation Serif" w:hAnsi="Liberation Serif"/>
        </w:rPr>
        <w:fldChar w:fldCharType="separate"/>
      </w:r>
      <w:r>
        <w:rPr>
          <w:rStyle w:val="Style9"/>
          <w:rFonts w:ascii="Liberation Serif" w:hAnsi="Liberation Serif"/>
        </w:rPr>
        <w:t>Таблица 5</w:t>
      </w:r>
      <w:r>
        <w:rPr>
          <w:rStyle w:val="Style9"/>
          <w:rFonts w:ascii="Liberation Serif" w:hAnsi="Liberation Serif"/>
        </w:rPr>
        <w:fldChar w:fldCharType="end"/>
      </w:r>
      <w:r>
        <w:rPr>
          <w:rStyle w:val="Style9"/>
          <w:rFonts w:ascii="Liberation Serif" w:hAnsi="Liberation Serif"/>
        </w:rPr>
        <w:t>.</w:t>
      </w:r>
    </w:p>
    <w:p>
      <w:pPr>
        <w:pStyle w:val="Style67"/>
        <w:rPr/>
      </w:pPr>
      <w:bookmarkStart w:id="115" w:name="_Ref530749223"/>
      <w:r>
        <w:rPr>
          <w:rStyle w:val="Style9"/>
          <w:rFonts w:ascii="Liberation Serif" w:hAnsi="Liberation Serif"/>
        </w:rPr>
        <w:t>Таблица 5</w:t>
      </w:r>
      <w:bookmarkEnd w:id="115"/>
      <w:r>
        <w:rPr>
          <w:rStyle w:val="Style9"/>
          <w:rFonts w:ascii="Liberation Serif" w:hAnsi="Liberation Serif"/>
        </w:rPr>
        <w:t>. Баланс поступления сточных вод в централизованную систему водоотведения и отведения стоков</w:t>
      </w:r>
    </w:p>
    <w:tbl>
      <w:tblPr>
        <w:tblW w:w="10065" w:type="dxa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1455"/>
        <w:gridCol w:w="1805"/>
        <w:gridCol w:w="2126"/>
        <w:gridCol w:w="2552"/>
      </w:tblGrid>
      <w:tr>
        <w:trPr>
          <w:trHeight w:val="624" w:hRule="atLeast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Камышловский городской округ</w:t>
            </w:r>
          </w:p>
        </w:tc>
        <w:tc>
          <w:tcPr>
            <w:tcW w:w="14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Год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Годовой объем стоков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Среднесуточный объем стоков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</w:rPr>
              <w:t>Отношение к предыдущему периоду</w:t>
            </w:r>
          </w:p>
        </w:tc>
      </w:tr>
      <w:tr>
        <w:trPr>
          <w:trHeight w:val="312" w:hRule="atLeast"/>
        </w:trPr>
        <w:tc>
          <w:tcPr>
            <w:tcW w:w="21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5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/сут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ind w:hanging="0"/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%</w:t>
            </w:r>
          </w:p>
        </w:tc>
      </w:tr>
      <w:tr>
        <w:trPr>
          <w:trHeight w:val="451" w:hRule="atLeast"/>
        </w:trPr>
        <w:tc>
          <w:tcPr>
            <w:tcW w:w="21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2011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2854,7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7821,1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ind w:hanging="0"/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-</w:t>
            </w:r>
          </w:p>
        </w:tc>
      </w:tr>
      <w:tr>
        <w:trPr>
          <w:trHeight w:val="543" w:hRule="atLeast"/>
        </w:trPr>
        <w:tc>
          <w:tcPr>
            <w:tcW w:w="21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2012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2637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7224,7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ind w:hanging="0"/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92,37</w:t>
            </w:r>
          </w:p>
        </w:tc>
      </w:tr>
      <w:tr>
        <w:trPr>
          <w:trHeight w:val="551" w:hRule="atLeast"/>
        </w:trPr>
        <w:tc>
          <w:tcPr>
            <w:tcW w:w="21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2013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2494,5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6834,2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ind w:hanging="0"/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94,59</w:t>
            </w:r>
          </w:p>
        </w:tc>
      </w:tr>
      <w:tr>
        <w:trPr>
          <w:trHeight w:val="559" w:hRule="atLeast"/>
        </w:trPr>
        <w:tc>
          <w:tcPr>
            <w:tcW w:w="21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2015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2441,3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6688,5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ind w:hanging="0"/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97,9</w:t>
            </w:r>
          </w:p>
        </w:tc>
      </w:tr>
      <w:tr>
        <w:trPr>
          <w:trHeight w:val="624" w:hRule="atLeast"/>
        </w:trPr>
        <w:tc>
          <w:tcPr>
            <w:tcW w:w="21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2016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2482,2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6800,5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ind w:hanging="0"/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101,7</w:t>
            </w:r>
          </w:p>
        </w:tc>
      </w:tr>
      <w:tr>
        <w:trPr>
          <w:trHeight w:val="936" w:hRule="atLeast"/>
        </w:trPr>
        <w:tc>
          <w:tcPr>
            <w:tcW w:w="21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2017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/>
                <w:color w:val="000000"/>
                <w:szCs w:val="24"/>
                <w:lang w:eastAsia="ru-RU"/>
              </w:rPr>
              <w:t>2530,8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/>
                <w:color w:val="000000"/>
                <w:szCs w:val="24"/>
                <w:lang w:eastAsia="ru-RU"/>
              </w:rPr>
              <w:t>6933,7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ind w:hanging="0"/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102,0</w:t>
            </w:r>
          </w:p>
        </w:tc>
      </w:tr>
    </w:tbl>
    <w:p>
      <w:pPr>
        <w:pStyle w:val="23"/>
        <w:rPr/>
      </w:pPr>
      <w:r>
        <w:rPr/>
        <w:t xml:space="preserve">2.2. </w:t>
      </w:r>
      <w:bookmarkStart w:id="116" w:name="_Toc531704229"/>
      <w:bookmarkStart w:id="117" w:name="_Toc531598952"/>
      <w:bookmarkStart w:id="118" w:name="_Toc401067983"/>
      <w:bookmarkStart w:id="119" w:name="_Toc390696252"/>
      <w:bookmarkStart w:id="120" w:name="_Toc390696040"/>
      <w:r>
        <w:rPr/>
        <w:t>Оценка фактического притока неорганизованного стока по технологическим зонам водоотведения</w:t>
      </w:r>
      <w:bookmarkEnd w:id="116"/>
      <w:bookmarkEnd w:id="117"/>
      <w:bookmarkEnd w:id="118"/>
      <w:bookmarkEnd w:id="119"/>
      <w:bookmarkEnd w:id="120"/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Стоки, образующиеся в результате деятельности предприятий, социальных объектов и населения, отводятся в централизованную систему водоотведения.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 xml:space="preserve">В настоящее время вопрос отвода ливневых и талых вод не решен. </w:t>
      </w:r>
      <w:r>
        <w:rPr>
          <w:rStyle w:val="Style9"/>
          <w:rFonts w:ascii="Liberation Serif" w:hAnsi="Liberation Serif"/>
          <w:lang w:eastAsia="ar-SA"/>
        </w:rPr>
        <w:t>Сети и сооружения по очистке поверхностного стока на территории городского округа отсутствуют.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>Ливневые стоки учитываются в вывозе жидких бытовых отходов. По данным МУП «Водоканал Камышлов» за 2017 год неорганизованные притоки в систему водоотведения Камышловского городского округа оцениваются как 75,2 тыс. м</w:t>
      </w:r>
      <w:r>
        <w:rPr>
          <w:rStyle w:val="Style9"/>
          <w:rFonts w:ascii="Liberation Serif" w:hAnsi="Liberation Serif"/>
          <w:position w:val="24"/>
          <w:sz w:val="16"/>
        </w:rPr>
        <w:t>3</w:t>
      </w:r>
      <w:r>
        <w:rPr>
          <w:rStyle w:val="Style9"/>
          <w:rFonts w:ascii="Liberation Serif" w:hAnsi="Liberation Serif"/>
        </w:rPr>
        <w:t>, или 3% от общего объема поступивших на очистные сооружения стоков. Объем отходов от выгребных ям, поступающих нецентрализованным методом, оценивается как 50,9 тыс. м</w:t>
      </w:r>
      <w:r>
        <w:rPr>
          <w:rStyle w:val="Style9"/>
          <w:rFonts w:ascii="Liberation Serif" w:hAnsi="Liberation Serif"/>
          <w:position w:val="24"/>
          <w:sz w:val="16"/>
        </w:rPr>
        <w:t>3</w:t>
      </w:r>
      <w:r>
        <w:rPr>
          <w:rStyle w:val="Style9"/>
          <w:rFonts w:ascii="Liberation Serif" w:hAnsi="Liberation Serif"/>
        </w:rPr>
        <w:t>, или 2% от общего объема поступивших на очистные сооружения стоков.</w:t>
      </w:r>
    </w:p>
    <w:p>
      <w:pPr>
        <w:pStyle w:val="23"/>
        <w:rPr/>
      </w:pPr>
      <w:r>
        <w:rPr/>
        <w:t xml:space="preserve">2.3. </w:t>
      </w:r>
      <w:bookmarkStart w:id="121" w:name="_Toc531704230"/>
      <w:bookmarkStart w:id="122" w:name="_Toc531598953"/>
      <w:bookmarkStart w:id="123" w:name="_Toc401067984"/>
      <w:bookmarkStart w:id="124" w:name="_Toc390696253"/>
      <w:bookmarkStart w:id="125" w:name="_Toc390696041"/>
      <w:r>
        <w:rPr/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121"/>
      <w:bookmarkEnd w:id="122"/>
      <w:bookmarkEnd w:id="123"/>
      <w:bookmarkEnd w:id="124"/>
      <w:bookmarkEnd w:id="125"/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 xml:space="preserve">В настоящее время учет принимаемых сточных вод осуществляется в соответствии с Федеральным законом Российской Федерации от 7 декабря 2011 г. N 416-ФЗ "О водоснабжении и водоотведении" законодательством, то есть  </w:t>
      </w:r>
      <w:r>
        <w:rPr>
          <w:rStyle w:val="Style9"/>
          <w:rFonts w:ascii="Liberation Serif" w:hAnsi="Liberation Serif"/>
          <w:highlight w:val="white"/>
        </w:rPr>
        <w:t>в случае отсутствия у абонента прибора учета сточных вод объем отведенных абонентом сточных вод принимается равным объему воды, поданной этому абоненту из всех источников централизованного водоснабжения, при этом учитывается объем поверхностных сточных вод в случае, если прием таких сточных вод в систему водоотведения предусмотрен договором водоотведения.</w:t>
      </w:r>
      <w:r>
        <w:rPr>
          <w:rStyle w:val="Style9"/>
          <w:rFonts w:ascii="Liberation Serif" w:hAnsi="Liberation Serif"/>
        </w:rPr>
        <w:t xml:space="preserve">  Доля объемов сточных вод, рассчитанная данным способом, составляет 100%.</w:t>
      </w:r>
    </w:p>
    <w:p>
      <w:pPr>
        <w:pStyle w:val="23"/>
        <w:rPr/>
      </w:pPr>
      <w:r>
        <w:rPr/>
        <w:t xml:space="preserve">2.4. </w:t>
      </w:r>
      <w:bookmarkStart w:id="126" w:name="_Toc531704231"/>
      <w:bookmarkStart w:id="127" w:name="_Toc531598954"/>
      <w:bookmarkStart w:id="128" w:name="_Toc401067985"/>
      <w:bookmarkStart w:id="129" w:name="_Toc390696254"/>
      <w:bookmarkStart w:id="130" w:name="_Toc390696042"/>
      <w:r>
        <w:rPr/>
        <w:t>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</w:t>
      </w:r>
      <w:bookmarkEnd w:id="126"/>
      <w:bookmarkEnd w:id="127"/>
      <w:bookmarkEnd w:id="128"/>
      <w:bookmarkEnd w:id="129"/>
      <w:bookmarkEnd w:id="130"/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 xml:space="preserve">Результаты ретроспективного анализа балансов поступления сточных вод в централизованную систему водоотведения за период 2011-2017 годов представлены в таблице </w:t>
      </w:r>
      <w:r>
        <w:rPr>
          <w:rStyle w:val="Style9"/>
          <w:rFonts w:ascii="Liberation Serif" w:hAnsi="Liberation Serif"/>
        </w:rPr>
        <w:fldChar w:fldCharType="begin"/>
      </w:r>
      <w:r>
        <w:rPr>
          <w:rStyle w:val="Style9"/>
          <w:rFonts w:ascii="Liberation Serif" w:hAnsi="Liberation Serif"/>
        </w:rPr>
        <w:instrText> REF _Ref530584200 \h </w:instrText>
      </w:r>
      <w:r>
        <w:rPr>
          <w:rStyle w:val="Style9"/>
          <w:rFonts w:ascii="Liberation Serif" w:hAnsi="Liberation Serif"/>
        </w:rPr>
        <w:fldChar w:fldCharType="separate"/>
      </w:r>
      <w:r>
        <w:rPr>
          <w:rStyle w:val="Style9"/>
          <w:rFonts w:ascii="Liberation Serif" w:hAnsi="Liberation Serif"/>
        </w:rPr>
        <w:t>Таблица 6</w:t>
      </w:r>
      <w:r>
        <w:rPr>
          <w:rStyle w:val="Style9"/>
          <w:rFonts w:ascii="Liberation Serif" w:hAnsi="Liberation Serif"/>
        </w:rPr>
        <w:fldChar w:fldCharType="end"/>
      </w:r>
      <w:r>
        <w:rPr>
          <w:rStyle w:val="Style9"/>
          <w:rFonts w:ascii="Liberation Serif" w:hAnsi="Liberation Serif"/>
        </w:rPr>
        <w:t>.</w:t>
      </w:r>
    </w:p>
    <w:p>
      <w:pPr>
        <w:pStyle w:val="Style67"/>
        <w:rPr/>
      </w:pPr>
      <w:bookmarkStart w:id="131" w:name="_Ref530584200"/>
      <w:r>
        <w:rPr>
          <w:rStyle w:val="Style9"/>
          <w:rFonts w:ascii="Liberation Serif" w:hAnsi="Liberation Serif"/>
        </w:rPr>
        <w:t>Таблица 6</w:t>
      </w:r>
      <w:bookmarkEnd w:id="131"/>
      <w:r>
        <w:rPr>
          <w:rStyle w:val="Style9"/>
          <w:rFonts w:ascii="Liberation Serif" w:hAnsi="Liberation Serif"/>
        </w:rPr>
        <w:t>. Ретроспективный анализ балансов поступления сточных вод</w:t>
      </w:r>
    </w:p>
    <w:tbl>
      <w:tblPr>
        <w:tblW w:w="10206" w:type="dxa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953"/>
        <w:gridCol w:w="1315"/>
        <w:gridCol w:w="1276"/>
        <w:gridCol w:w="1134"/>
        <w:gridCol w:w="1276"/>
        <w:gridCol w:w="1275"/>
        <w:gridCol w:w="1134"/>
      </w:tblGrid>
      <w:tr>
        <w:trPr>
          <w:trHeight w:val="340" w:hRule="atLeast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Камышловский городской округ</w:t>
            </w:r>
          </w:p>
        </w:tc>
        <w:tc>
          <w:tcPr>
            <w:tcW w:w="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Год</w:t>
            </w:r>
          </w:p>
        </w:tc>
        <w:tc>
          <w:tcPr>
            <w:tcW w:w="13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Годовой объем стоков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Среднесуточный объем стоков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Производительность очистных сооружений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(-) Дефицит /</w:t>
            </w:r>
          </w:p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(+) Резерв</w:t>
            </w:r>
          </w:p>
        </w:tc>
      </w:tr>
      <w:tr>
        <w:trPr>
          <w:trHeight w:val="340" w:hRule="atLeast"/>
        </w:trPr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95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/сут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/сут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/сут</w:t>
            </w:r>
          </w:p>
        </w:tc>
      </w:tr>
      <w:tr>
        <w:trPr>
          <w:trHeight w:val="340" w:hRule="atLeast"/>
        </w:trPr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95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2011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2854,7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7821,1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6935,0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19000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+4080,3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+11178,9</w:t>
            </w:r>
          </w:p>
        </w:tc>
      </w:tr>
      <w:tr>
        <w:trPr>
          <w:trHeight w:val="340" w:hRule="atLeast"/>
        </w:trPr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95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2012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2637,0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7224,7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6935,0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19000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+4298,0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+11775,3</w:t>
            </w:r>
          </w:p>
        </w:tc>
      </w:tr>
      <w:tr>
        <w:trPr>
          <w:trHeight w:val="340" w:hRule="atLeast"/>
        </w:trPr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95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2013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2494,5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6834,2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6935,0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19000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+4440,5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+12165,8</w:t>
            </w:r>
          </w:p>
        </w:tc>
      </w:tr>
      <w:tr>
        <w:trPr>
          <w:trHeight w:val="340" w:hRule="atLeast"/>
        </w:trPr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95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2015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2441,3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6688,5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6935,0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19000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+4493,7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+12311,5</w:t>
            </w:r>
          </w:p>
        </w:tc>
      </w:tr>
      <w:tr>
        <w:trPr>
          <w:trHeight w:val="340" w:hRule="atLeast"/>
        </w:trPr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95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2016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2482,2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6800,5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69350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19000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+4452,8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+12199,5</w:t>
            </w:r>
          </w:p>
        </w:tc>
      </w:tr>
      <w:tr>
        <w:trPr>
          <w:trHeight w:val="340" w:hRule="atLeast"/>
        </w:trPr>
        <w:tc>
          <w:tcPr>
            <w:tcW w:w="184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95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2017</w:t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2530,8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6933,7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6935,0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19000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+4404,2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+12066,3</w:t>
            </w:r>
          </w:p>
        </w:tc>
      </w:tr>
    </w:tbl>
    <w:p>
      <w:pPr>
        <w:pStyle w:val="Style69"/>
        <w:spacing w:before="240" w:after="0"/>
        <w:rPr>
          <w:rFonts w:ascii="Liberation Serif" w:hAnsi="Liberation Serif"/>
        </w:rPr>
      </w:pPr>
      <w:r>
        <w:rPr>
          <w:rFonts w:ascii="Liberation Serif" w:hAnsi="Liberation Serif"/>
        </w:rPr>
      </w:r>
      <w:r>
        <w:br w:type="page"/>
      </w:r>
    </w:p>
    <w:p>
      <w:pPr>
        <w:pStyle w:val="Style69"/>
        <w:spacing w:before="240" w:after="0"/>
        <w:rPr>
          <w:rFonts w:ascii="Liberation Serif" w:hAnsi="Liberation Serif"/>
        </w:rPr>
      </w:pPr>
      <w:r>
        <w:rPr>
          <w:rFonts w:ascii="Liberation Serif" w:hAnsi="Liberation Serif"/>
        </w:rPr>
        <w:t>По результатам ретроспективного анализа за последние годы очистные сооружения Камышловского городского округа имеют резерв мощности от 58% до 67%, следовательно, количество стоков, поступающих на очистные сооружения города, может в полной мере быть подвергнуто очистке.</w:t>
      </w:r>
    </w:p>
    <w:p>
      <w:pPr>
        <w:pStyle w:val="Style69"/>
        <w:rPr>
          <w:rFonts w:ascii="Liberation Serif" w:hAnsi="Liberation Serif"/>
        </w:rPr>
      </w:pPr>
      <w:r>
        <w:rPr>
          <w:rFonts w:ascii="Liberation Serif" w:hAnsi="Liberation Serif"/>
        </w:rPr>
        <w:t>На 2017 год резерв мощности очистных сооружений составляет 67%.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 xml:space="preserve">В соответствии с предоставленными МУП «Водоканал Камышлов» данными, дифференциация абонентов, пользующихся услугами водоотведения представлена в таблице </w:t>
      </w:r>
      <w:r>
        <w:rPr>
          <w:rStyle w:val="Style9"/>
          <w:rFonts w:ascii="Liberation Serif" w:hAnsi="Liberation Serif"/>
        </w:rPr>
        <w:fldChar w:fldCharType="begin"/>
      </w:r>
      <w:r>
        <w:rPr>
          <w:rStyle w:val="Style9"/>
          <w:rFonts w:ascii="Liberation Serif" w:hAnsi="Liberation Serif"/>
        </w:rPr>
        <w:instrText> REF _Ref530584271 \h </w:instrText>
      </w:r>
      <w:r>
        <w:rPr>
          <w:rStyle w:val="Style9"/>
          <w:rFonts w:ascii="Liberation Serif" w:hAnsi="Liberation Serif"/>
        </w:rPr>
        <w:fldChar w:fldCharType="separate"/>
      </w:r>
      <w:r>
        <w:rPr>
          <w:rStyle w:val="Style9"/>
          <w:rFonts w:ascii="Liberation Serif" w:hAnsi="Liberation Serif"/>
        </w:rPr>
        <w:t>Таблица 7</w:t>
      </w:r>
      <w:r>
        <w:rPr>
          <w:rStyle w:val="Style9"/>
          <w:rFonts w:ascii="Liberation Serif" w:hAnsi="Liberation Serif"/>
        </w:rPr>
        <w:fldChar w:fldCharType="end"/>
      </w:r>
      <w:r>
        <w:rPr>
          <w:rStyle w:val="Style9"/>
          <w:rFonts w:ascii="Liberation Serif" w:hAnsi="Liberation Serif"/>
        </w:rPr>
        <w:t>.</w:t>
      </w:r>
    </w:p>
    <w:p>
      <w:pPr>
        <w:pStyle w:val="Style67"/>
        <w:rPr/>
      </w:pPr>
      <w:bookmarkStart w:id="132" w:name="_Ref530584271"/>
      <w:r>
        <w:rPr>
          <w:rStyle w:val="Style9"/>
          <w:rFonts w:ascii="Liberation Serif" w:hAnsi="Liberation Serif"/>
        </w:rPr>
        <w:t>Таблица 7</w:t>
      </w:r>
      <w:bookmarkEnd w:id="132"/>
      <w:r>
        <w:rPr>
          <w:rStyle w:val="Style9"/>
          <w:rFonts w:ascii="Liberation Serif" w:hAnsi="Liberation Serif"/>
        </w:rPr>
        <w:t>. Дифференциация абонентов, пользующихся услугами водоотведения</w:t>
      </w:r>
    </w:p>
    <w:tbl>
      <w:tblPr>
        <w:tblW w:w="10216" w:type="dxa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62"/>
        <w:gridCol w:w="1235"/>
        <w:gridCol w:w="1360"/>
        <w:gridCol w:w="1384"/>
        <w:gridCol w:w="1448"/>
        <w:gridCol w:w="1527"/>
      </w:tblGrid>
      <w:tr>
        <w:trPr>
          <w:trHeight w:val="297" w:hRule="atLeast"/>
        </w:trPr>
        <w:tc>
          <w:tcPr>
            <w:tcW w:w="4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Cs w:val="24"/>
                <w:lang w:eastAsia="ru-RU"/>
              </w:rPr>
              <w:t>Отчетный период</w:t>
            </w:r>
          </w:p>
        </w:tc>
        <w:tc>
          <w:tcPr>
            <w:tcW w:w="13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Cs w:val="24"/>
                <w:lang w:eastAsia="ru-RU"/>
              </w:rPr>
              <w:t>2013</w:t>
            </w:r>
          </w:p>
        </w:tc>
        <w:tc>
          <w:tcPr>
            <w:tcW w:w="13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Cs w:val="24"/>
                <w:lang w:eastAsia="ru-RU"/>
              </w:rPr>
              <w:t>2015</w:t>
            </w:r>
          </w:p>
        </w:tc>
        <w:tc>
          <w:tcPr>
            <w:tcW w:w="14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Cs w:val="24"/>
                <w:lang w:eastAsia="ru-RU"/>
              </w:rPr>
              <w:t>2016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Cs w:val="24"/>
                <w:lang w:eastAsia="ru-RU"/>
              </w:rPr>
              <w:t>2017(факт)</w:t>
            </w:r>
          </w:p>
        </w:tc>
      </w:tr>
      <w:tr>
        <w:trPr>
          <w:trHeight w:val="1193" w:hRule="atLeast"/>
        </w:trPr>
        <w:tc>
          <w:tcPr>
            <w:tcW w:w="3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i/>
                <w:i/>
                <w:i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i/>
                <w:iCs/>
                <w:color w:val="000000"/>
                <w:szCs w:val="24"/>
                <w:lang w:eastAsia="ru-RU"/>
              </w:rPr>
              <w:t>от собственного производства организации</w:t>
            </w:r>
          </w:p>
        </w:tc>
        <w:tc>
          <w:tcPr>
            <w:tcW w:w="123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136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 </w:t>
            </w:r>
          </w:p>
        </w:tc>
        <w:tc>
          <w:tcPr>
            <w:tcW w:w="138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210,0</w:t>
            </w:r>
          </w:p>
        </w:tc>
        <w:tc>
          <w:tcPr>
            <w:tcW w:w="144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200,0</w:t>
            </w:r>
          </w:p>
        </w:tc>
        <w:tc>
          <w:tcPr>
            <w:tcW w:w="152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250,0</w:t>
            </w:r>
          </w:p>
        </w:tc>
      </w:tr>
      <w:tr>
        <w:trPr>
          <w:trHeight w:val="297" w:hRule="atLeast"/>
        </w:trPr>
        <w:tc>
          <w:tcPr>
            <w:tcW w:w="3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i/>
                <w:i/>
                <w:i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i/>
                <w:iCs/>
                <w:color w:val="000000"/>
                <w:szCs w:val="24"/>
                <w:lang w:eastAsia="ru-RU"/>
              </w:rPr>
              <w:t>от населения, в т.ч:</w:t>
            </w:r>
          </w:p>
        </w:tc>
        <w:tc>
          <w:tcPr>
            <w:tcW w:w="123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136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549,1</w:t>
            </w:r>
          </w:p>
        </w:tc>
        <w:tc>
          <w:tcPr>
            <w:tcW w:w="138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477,3</w:t>
            </w:r>
          </w:p>
        </w:tc>
        <w:tc>
          <w:tcPr>
            <w:tcW w:w="144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509,0</w:t>
            </w:r>
          </w:p>
        </w:tc>
        <w:tc>
          <w:tcPr>
            <w:tcW w:w="152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445,6</w:t>
            </w:r>
          </w:p>
        </w:tc>
      </w:tr>
      <w:tr>
        <w:trPr>
          <w:trHeight w:val="297" w:hRule="atLeast"/>
        </w:trPr>
        <w:tc>
          <w:tcPr>
            <w:tcW w:w="3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righ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многоэтажный ЖФ</w:t>
            </w:r>
          </w:p>
        </w:tc>
        <w:tc>
          <w:tcPr>
            <w:tcW w:w="123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136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</w:t>
            </w:r>
          </w:p>
        </w:tc>
        <w:tc>
          <w:tcPr>
            <w:tcW w:w="138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455,1</w:t>
            </w:r>
          </w:p>
        </w:tc>
        <w:tc>
          <w:tcPr>
            <w:tcW w:w="144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487,2</w:t>
            </w:r>
          </w:p>
        </w:tc>
        <w:tc>
          <w:tcPr>
            <w:tcW w:w="152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423,0</w:t>
            </w:r>
          </w:p>
        </w:tc>
      </w:tr>
      <w:tr>
        <w:trPr>
          <w:trHeight w:val="297" w:hRule="atLeast"/>
        </w:trPr>
        <w:tc>
          <w:tcPr>
            <w:tcW w:w="3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righ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частный ЖФ</w:t>
            </w:r>
          </w:p>
        </w:tc>
        <w:tc>
          <w:tcPr>
            <w:tcW w:w="123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136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- </w:t>
            </w:r>
          </w:p>
        </w:tc>
        <w:tc>
          <w:tcPr>
            <w:tcW w:w="138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22,2</w:t>
            </w:r>
          </w:p>
        </w:tc>
        <w:tc>
          <w:tcPr>
            <w:tcW w:w="144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21,8</w:t>
            </w:r>
          </w:p>
        </w:tc>
        <w:tc>
          <w:tcPr>
            <w:tcW w:w="152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22,6</w:t>
            </w:r>
          </w:p>
        </w:tc>
      </w:tr>
      <w:tr>
        <w:trPr>
          <w:trHeight w:val="297" w:hRule="atLeast"/>
        </w:trPr>
        <w:tc>
          <w:tcPr>
            <w:tcW w:w="3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i/>
                <w:i/>
                <w:i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i/>
                <w:iCs/>
                <w:color w:val="000000"/>
                <w:szCs w:val="24"/>
                <w:lang w:eastAsia="ru-RU"/>
              </w:rPr>
              <w:t>от бюджетного сектора</w:t>
            </w:r>
          </w:p>
        </w:tc>
        <w:tc>
          <w:tcPr>
            <w:tcW w:w="123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136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526,5</w:t>
            </w:r>
          </w:p>
        </w:tc>
        <w:tc>
          <w:tcPr>
            <w:tcW w:w="138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295,8</w:t>
            </w:r>
          </w:p>
        </w:tc>
        <w:tc>
          <w:tcPr>
            <w:tcW w:w="144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349,1</w:t>
            </w:r>
          </w:p>
        </w:tc>
        <w:tc>
          <w:tcPr>
            <w:tcW w:w="152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64,2</w:t>
            </w:r>
          </w:p>
        </w:tc>
      </w:tr>
      <w:tr>
        <w:trPr>
          <w:trHeight w:val="297" w:hRule="atLeast"/>
        </w:trPr>
        <w:tc>
          <w:tcPr>
            <w:tcW w:w="32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i/>
                <w:i/>
                <w:i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i/>
                <w:iCs/>
                <w:color w:val="000000"/>
                <w:szCs w:val="24"/>
                <w:lang w:eastAsia="ru-RU"/>
              </w:rPr>
              <w:t>от прочих потребители</w:t>
            </w:r>
          </w:p>
        </w:tc>
        <w:tc>
          <w:tcPr>
            <w:tcW w:w="123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136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417,3</w:t>
            </w:r>
          </w:p>
        </w:tc>
        <w:tc>
          <w:tcPr>
            <w:tcW w:w="138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234,4</w:t>
            </w:r>
          </w:p>
        </w:tc>
        <w:tc>
          <w:tcPr>
            <w:tcW w:w="1448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276,7</w:t>
            </w:r>
          </w:p>
        </w:tc>
        <w:tc>
          <w:tcPr>
            <w:tcW w:w="152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192,2</w:t>
            </w:r>
          </w:p>
        </w:tc>
      </w:tr>
    </w:tbl>
    <w:p>
      <w:pPr>
        <w:pStyle w:val="Style64"/>
        <w:spacing w:before="240" w:after="0"/>
        <w:rPr>
          <w:rFonts w:ascii="Liberation Serif" w:hAnsi="Liberation Serif"/>
        </w:rPr>
      </w:pPr>
      <w:r>
        <w:rPr>
          <w:rFonts w:ascii="Liberation Serif" w:hAnsi="Liberation Serif"/>
        </w:rPr>
        <w:t>Следует отметить, что имеется тенденция снижения объемов водоотведения за счет повсеместной установки приборов учета воды.</w:t>
      </w:r>
    </w:p>
    <w:p>
      <w:pPr>
        <w:pStyle w:val="23"/>
        <w:rPr/>
      </w:pPr>
      <w:r>
        <w:rPr/>
        <w:t xml:space="preserve">2.5. </w:t>
      </w:r>
      <w:bookmarkStart w:id="133" w:name="_Toc531704232"/>
      <w:bookmarkStart w:id="134" w:name="_Toc531598955"/>
      <w:r>
        <w:rPr/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</w:t>
      </w:r>
      <w:bookmarkEnd w:id="133"/>
      <w:bookmarkEnd w:id="134"/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Численность постоянного населения городского округа на 01.01.2017 года составляет 26538 человек. По данным социально-экономического одела Администрации Камышловского городского округа на первый этап реализации программы предполагается рост численности населения до 26573 человек в 2023 году и 26850 человек к 2034 году (оптимимистичный сценарий развития).</w:t>
      </w:r>
    </w:p>
    <w:p>
      <w:pPr>
        <w:pStyle w:val="Style69"/>
        <w:rPr>
          <w:rFonts w:ascii="Liberation Serif" w:hAnsi="Liberation Serif"/>
        </w:rPr>
      </w:pPr>
      <w:r>
        <w:rPr>
          <w:rFonts w:ascii="Liberation Serif" w:hAnsi="Liberation Serif"/>
        </w:rPr>
        <w:t>В случае пессимистичного сценария численность населения городского округа Камышлов будет сокращаться равномерно до 25250 человек к 2034 году.</w:t>
      </w:r>
    </w:p>
    <w:p>
      <w:pPr>
        <w:pStyle w:val="Style69"/>
        <w:rPr>
          <w:rFonts w:ascii="Liberation Serif" w:hAnsi="Liberation Serif"/>
        </w:rPr>
      </w:pPr>
      <w:r>
        <w:rPr>
          <w:rFonts w:ascii="Liberation Serif" w:hAnsi="Liberation Serif"/>
        </w:rPr>
        <w:t>Для прогноза объемов водоотведения принимается, что система водоотведения городского округа будет развиваться как раздельная для коммунальных и ливневых стоков. Основными расчётными показателями является:</w:t>
      </w:r>
    </w:p>
    <w:p>
      <w:pPr>
        <w:pStyle w:val="Style65"/>
        <w:numPr>
          <w:ilvl w:val="0"/>
          <w:numId w:val="4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>доля сточных вод от объема прогнозной реализации воды населению;</w:t>
      </w:r>
    </w:p>
    <w:p>
      <w:pPr>
        <w:pStyle w:val="Style65"/>
        <w:numPr>
          <w:ilvl w:val="0"/>
          <w:numId w:val="4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>доля сточных вод от объема прогнозной реализации воды юридическим и бюджетным организациям;</w:t>
      </w:r>
    </w:p>
    <w:p>
      <w:pPr>
        <w:pStyle w:val="Style65"/>
        <w:numPr>
          <w:ilvl w:val="0"/>
          <w:numId w:val="4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>доля сточных вод, поступающих на очистные сооружения.</w:t>
      </w:r>
    </w:p>
    <w:p>
      <w:pPr>
        <w:pStyle w:val="Style69"/>
        <w:rPr/>
      </w:pPr>
      <w:r>
        <w:rPr>
          <w:rStyle w:val="Style9"/>
          <w:rFonts w:ascii="Liberation Serif" w:hAnsi="Liberation Serif"/>
        </w:rPr>
        <w:t>Расчетный объем сточных вод с учетом увеличения численности населения городского округа по оптимистическому сценарию (</w:t>
      </w:r>
      <w:r>
        <w:rPr>
          <w:rStyle w:val="Style9"/>
          <w:rFonts w:ascii="Liberation Serif" w:hAnsi="Liberation Serif"/>
        </w:rPr>
        <w:fldChar w:fldCharType="begin"/>
      </w:r>
      <w:r>
        <w:rPr>
          <w:rStyle w:val="Style9"/>
          <w:rFonts w:ascii="Liberation Serif" w:hAnsi="Liberation Serif"/>
        </w:rPr>
        <w:instrText> REF _Ref530584395 \h </w:instrText>
      </w:r>
      <w:r>
        <w:rPr>
          <w:rStyle w:val="Style9"/>
          <w:rFonts w:ascii="Liberation Serif" w:hAnsi="Liberation Serif"/>
        </w:rPr>
        <w:fldChar w:fldCharType="separate"/>
      </w:r>
      <w:r>
        <w:rPr>
          <w:rStyle w:val="Style9"/>
          <w:rFonts w:ascii="Liberation Serif" w:hAnsi="Liberation Serif"/>
        </w:rPr>
        <w:t>Таблица 8</w:t>
      </w:r>
      <w:r>
        <w:rPr>
          <w:rStyle w:val="Style9"/>
          <w:rFonts w:ascii="Liberation Serif" w:hAnsi="Liberation Serif"/>
        </w:rPr>
        <w:fldChar w:fldCharType="end"/>
      </w:r>
      <w:r>
        <w:rPr>
          <w:rStyle w:val="Style9"/>
          <w:rFonts w:ascii="Liberation Serif" w:hAnsi="Liberation Serif"/>
        </w:rPr>
        <w:t>) в 2034г. составит 3205,9 тыс. м</w:t>
      </w:r>
      <w:r>
        <w:rPr>
          <w:rStyle w:val="Style9"/>
          <w:rFonts w:ascii="Liberation Serif" w:hAnsi="Liberation Serif"/>
          <w:position w:val="24"/>
          <w:sz w:val="16"/>
        </w:rPr>
        <w:t>3</w:t>
      </w:r>
      <w:r>
        <w:rPr>
          <w:rStyle w:val="Style9"/>
          <w:rFonts w:ascii="Liberation Serif" w:hAnsi="Liberation Serif"/>
        </w:rPr>
        <w:t>, а по пессимистическому сценарию (</w:t>
      </w:r>
      <w:r>
        <w:rPr>
          <w:rStyle w:val="Style9"/>
          <w:rFonts w:ascii="Liberation Serif" w:hAnsi="Liberation Serif"/>
        </w:rPr>
        <w:fldChar w:fldCharType="begin"/>
      </w:r>
      <w:r>
        <w:rPr>
          <w:rStyle w:val="Style9"/>
          <w:rFonts w:ascii="Liberation Serif" w:hAnsi="Liberation Serif"/>
        </w:rPr>
        <w:instrText> REF _Ref530584399 \h </w:instrText>
      </w:r>
      <w:r>
        <w:rPr>
          <w:rStyle w:val="Style9"/>
          <w:rFonts w:ascii="Liberation Serif" w:hAnsi="Liberation Serif"/>
        </w:rPr>
        <w:fldChar w:fldCharType="separate"/>
      </w:r>
      <w:r>
        <w:rPr>
          <w:rStyle w:val="Style9"/>
          <w:rFonts w:ascii="Liberation Serif" w:hAnsi="Liberation Serif"/>
        </w:rPr>
        <w:t>Таблица 9</w:t>
      </w:r>
      <w:r>
        <w:rPr>
          <w:rStyle w:val="Style9"/>
          <w:rFonts w:ascii="Liberation Serif" w:hAnsi="Liberation Serif"/>
        </w:rPr>
        <w:fldChar w:fldCharType="end"/>
      </w:r>
      <w:r>
        <w:rPr>
          <w:rStyle w:val="Style9"/>
          <w:rFonts w:ascii="Liberation Serif" w:hAnsi="Liberation Serif"/>
        </w:rPr>
        <w:t>) развития – 2633,8 тыс. м</w:t>
      </w:r>
      <w:r>
        <w:rPr>
          <w:rStyle w:val="Style9"/>
          <w:rFonts w:ascii="Liberation Serif" w:hAnsi="Liberation Serif"/>
          <w:position w:val="24"/>
          <w:sz w:val="16"/>
        </w:rPr>
        <w:t>3</w:t>
      </w:r>
      <w:r>
        <w:rPr>
          <w:rStyle w:val="Style9"/>
          <w:rFonts w:ascii="Liberation Serif" w:hAnsi="Liberation Serif"/>
        </w:rPr>
        <w:t>.</w:t>
      </w:r>
    </w:p>
    <w:p>
      <w:pPr>
        <w:pStyle w:val="Style69"/>
        <w:rPr>
          <w:rFonts w:ascii="Liberation Serif" w:hAnsi="Liberation Serif"/>
        </w:rPr>
      </w:pPr>
      <w:r>
        <w:rPr>
          <w:rFonts w:ascii="Liberation Serif" w:hAnsi="Liberation Serif"/>
        </w:rPr>
        <w:t>В дальнейшем целью расчета выбран оптимистический сценарий развития, как наиболее трудный с точки зрения гидравлики и обеспечения имеющимися мощностями.</w:t>
      </w:r>
    </w:p>
    <w:p>
      <w:pPr>
        <w:pStyle w:val="Style67"/>
        <w:rPr/>
      </w:pPr>
      <w:bookmarkStart w:id="135" w:name="_Ref530584395"/>
      <w:r>
        <w:rPr>
          <w:rStyle w:val="Style9"/>
          <w:rFonts w:ascii="Liberation Serif" w:hAnsi="Liberation Serif"/>
        </w:rPr>
        <w:t>Таблица 8</w:t>
      </w:r>
      <w:bookmarkEnd w:id="135"/>
      <w:r>
        <w:rPr>
          <w:rStyle w:val="Style9"/>
          <w:rFonts w:ascii="Liberation Serif" w:hAnsi="Liberation Serif"/>
        </w:rPr>
        <w:t>. Прогнозные балансы поступления сточных вод в централизованные системы водоотведения (оптимистический сценарий)</w:t>
      </w:r>
    </w:p>
    <w:tbl>
      <w:tblPr>
        <w:tblW w:w="10069" w:type="dxa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1"/>
        <w:gridCol w:w="1793"/>
        <w:gridCol w:w="2361"/>
        <w:gridCol w:w="2944"/>
      </w:tblGrid>
      <w:tr>
        <w:trPr>
          <w:trHeight w:val="559" w:hRule="atLeast"/>
        </w:trPr>
        <w:tc>
          <w:tcPr>
            <w:tcW w:w="2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Камышловский городской округ</w:t>
            </w:r>
          </w:p>
        </w:tc>
        <w:tc>
          <w:tcPr>
            <w:tcW w:w="17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Год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Годовой объем стоков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Среднесуточный объем стоков</w:t>
            </w:r>
          </w:p>
        </w:tc>
      </w:tr>
      <w:tr>
        <w:trPr>
          <w:trHeight w:val="139" w:hRule="atLeast"/>
        </w:trPr>
        <w:tc>
          <w:tcPr>
            <w:tcW w:w="29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/сут</w:t>
            </w:r>
          </w:p>
        </w:tc>
      </w:tr>
      <w:tr>
        <w:trPr>
          <w:trHeight w:val="139" w:hRule="atLeast"/>
        </w:trPr>
        <w:tc>
          <w:tcPr>
            <w:tcW w:w="29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2011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2854,7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7821,1</w:t>
            </w:r>
          </w:p>
        </w:tc>
      </w:tr>
      <w:tr>
        <w:trPr>
          <w:trHeight w:val="139" w:hRule="atLeast"/>
        </w:trPr>
        <w:tc>
          <w:tcPr>
            <w:tcW w:w="29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2012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2637,0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7224,7</w:t>
            </w:r>
          </w:p>
        </w:tc>
      </w:tr>
      <w:tr>
        <w:trPr>
          <w:trHeight w:val="139" w:hRule="atLeast"/>
        </w:trPr>
        <w:tc>
          <w:tcPr>
            <w:tcW w:w="29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2013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2494,5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6834,2</w:t>
            </w:r>
          </w:p>
        </w:tc>
      </w:tr>
      <w:tr>
        <w:trPr>
          <w:trHeight w:val="139" w:hRule="atLeast"/>
        </w:trPr>
        <w:tc>
          <w:tcPr>
            <w:tcW w:w="29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2015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2441,3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6688,5</w:t>
            </w:r>
          </w:p>
        </w:tc>
      </w:tr>
      <w:tr>
        <w:trPr>
          <w:trHeight w:val="278" w:hRule="atLeast"/>
        </w:trPr>
        <w:tc>
          <w:tcPr>
            <w:tcW w:w="29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2016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2482,2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6800,5</w:t>
            </w:r>
          </w:p>
        </w:tc>
      </w:tr>
      <w:tr>
        <w:trPr>
          <w:trHeight w:val="418" w:hRule="atLeast"/>
        </w:trPr>
        <w:tc>
          <w:tcPr>
            <w:tcW w:w="29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2017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2530,8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6933,7</w:t>
            </w:r>
          </w:p>
        </w:tc>
      </w:tr>
      <w:tr>
        <w:trPr>
          <w:trHeight w:val="139" w:hRule="atLeast"/>
        </w:trPr>
        <w:tc>
          <w:tcPr>
            <w:tcW w:w="29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2018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2606,7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7141,7</w:t>
            </w:r>
          </w:p>
        </w:tc>
      </w:tr>
      <w:tr>
        <w:trPr>
          <w:trHeight w:val="278" w:hRule="atLeast"/>
        </w:trPr>
        <w:tc>
          <w:tcPr>
            <w:tcW w:w="29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2019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2684,9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7356,0</w:t>
            </w:r>
          </w:p>
        </w:tc>
      </w:tr>
      <w:tr>
        <w:trPr>
          <w:trHeight w:val="139" w:hRule="atLeast"/>
        </w:trPr>
        <w:tc>
          <w:tcPr>
            <w:tcW w:w="29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2020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2765,5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7576,6</w:t>
            </w:r>
          </w:p>
        </w:tc>
      </w:tr>
      <w:tr>
        <w:trPr>
          <w:trHeight w:val="139" w:hRule="atLeast"/>
        </w:trPr>
        <w:tc>
          <w:tcPr>
            <w:tcW w:w="29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2848,4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7803,9</w:t>
            </w:r>
          </w:p>
        </w:tc>
      </w:tr>
      <w:tr>
        <w:trPr>
          <w:trHeight w:val="139" w:hRule="atLeast"/>
        </w:trPr>
        <w:tc>
          <w:tcPr>
            <w:tcW w:w="29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2933,9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8038,1</w:t>
            </w:r>
          </w:p>
        </w:tc>
      </w:tr>
      <w:tr>
        <w:trPr>
          <w:trHeight w:val="139" w:hRule="atLeast"/>
        </w:trPr>
        <w:tc>
          <w:tcPr>
            <w:tcW w:w="29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3021,9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8279,2</w:t>
            </w:r>
          </w:p>
        </w:tc>
      </w:tr>
      <w:tr>
        <w:trPr>
          <w:trHeight w:val="139" w:hRule="atLeast"/>
        </w:trPr>
        <w:tc>
          <w:tcPr>
            <w:tcW w:w="29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2024-2029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3112,6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8527,6</w:t>
            </w:r>
          </w:p>
        </w:tc>
      </w:tr>
      <w:tr>
        <w:trPr>
          <w:trHeight w:val="139" w:hRule="atLeast"/>
        </w:trPr>
        <w:tc>
          <w:tcPr>
            <w:tcW w:w="29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2030-2034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3205,9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8783,4</w:t>
            </w:r>
          </w:p>
        </w:tc>
      </w:tr>
    </w:tbl>
    <w:p>
      <w:pPr>
        <w:pStyle w:val="113"/>
        <w:tabs>
          <w:tab w:val="clear" w:pos="709"/>
          <w:tab w:val="left" w:pos="142" w:leader="none"/>
        </w:tabs>
        <w:rPr>
          <w:rFonts w:ascii="Liberation Serif" w:hAnsi="Liberation Serif"/>
          <w:lang w:val="ru-RU"/>
        </w:rPr>
      </w:pPr>
      <w:r>
        <w:rPr>
          <w:rFonts w:ascii="Liberation Serif" w:hAnsi="Liberation Serif"/>
          <w:lang w:val="ru-RU"/>
        </w:rPr>
      </w:r>
    </w:p>
    <w:p>
      <w:pPr>
        <w:pStyle w:val="Style67"/>
        <w:rPr/>
      </w:pPr>
      <w:bookmarkStart w:id="136" w:name="_Ref530584399"/>
      <w:r>
        <w:rPr>
          <w:rStyle w:val="Style9"/>
          <w:rFonts w:ascii="Liberation Serif" w:hAnsi="Liberation Serif"/>
        </w:rPr>
        <w:t>Таблица 9</w:t>
      </w:r>
      <w:bookmarkEnd w:id="136"/>
      <w:r>
        <w:rPr>
          <w:rStyle w:val="Style9"/>
          <w:rFonts w:ascii="Liberation Serif" w:hAnsi="Liberation Serif"/>
        </w:rPr>
        <w:t>. Прогнозные балансы поступления сточных вод в централизованные системы водоотведения (пессимистический сценарий)</w:t>
      </w:r>
    </w:p>
    <w:tbl>
      <w:tblPr>
        <w:tblW w:w="10050" w:type="dxa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65"/>
        <w:gridCol w:w="1790"/>
        <w:gridCol w:w="2356"/>
        <w:gridCol w:w="2939"/>
      </w:tblGrid>
      <w:tr>
        <w:trPr>
          <w:trHeight w:val="577" w:hRule="atLeast"/>
        </w:trPr>
        <w:tc>
          <w:tcPr>
            <w:tcW w:w="2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Камышловский городской округ</w:t>
            </w:r>
          </w:p>
        </w:tc>
        <w:tc>
          <w:tcPr>
            <w:tcW w:w="1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Год</w:t>
            </w: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Годовой объем стоков</w:t>
            </w:r>
          </w:p>
        </w:tc>
        <w:tc>
          <w:tcPr>
            <w:tcW w:w="29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Среднесуточный объем стоков</w:t>
            </w:r>
          </w:p>
        </w:tc>
      </w:tr>
      <w:tr>
        <w:trPr>
          <w:trHeight w:val="192" w:hRule="atLeast"/>
        </w:trPr>
        <w:tc>
          <w:tcPr>
            <w:tcW w:w="29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35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29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/сут</w:t>
            </w:r>
          </w:p>
        </w:tc>
      </w:tr>
      <w:tr>
        <w:trPr>
          <w:trHeight w:val="192" w:hRule="atLeast"/>
        </w:trPr>
        <w:tc>
          <w:tcPr>
            <w:tcW w:w="29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2011</w:t>
            </w:r>
          </w:p>
        </w:tc>
        <w:tc>
          <w:tcPr>
            <w:tcW w:w="235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2854,7</w:t>
            </w:r>
          </w:p>
        </w:tc>
        <w:tc>
          <w:tcPr>
            <w:tcW w:w="29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7821,1</w:t>
            </w:r>
          </w:p>
        </w:tc>
      </w:tr>
      <w:tr>
        <w:trPr>
          <w:trHeight w:val="192" w:hRule="atLeast"/>
        </w:trPr>
        <w:tc>
          <w:tcPr>
            <w:tcW w:w="29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2012</w:t>
            </w:r>
          </w:p>
        </w:tc>
        <w:tc>
          <w:tcPr>
            <w:tcW w:w="235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2637,0</w:t>
            </w:r>
          </w:p>
        </w:tc>
        <w:tc>
          <w:tcPr>
            <w:tcW w:w="29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7224,7</w:t>
            </w:r>
          </w:p>
        </w:tc>
      </w:tr>
      <w:tr>
        <w:trPr>
          <w:trHeight w:val="192" w:hRule="atLeast"/>
        </w:trPr>
        <w:tc>
          <w:tcPr>
            <w:tcW w:w="29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2013</w:t>
            </w:r>
          </w:p>
        </w:tc>
        <w:tc>
          <w:tcPr>
            <w:tcW w:w="235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2494,5</w:t>
            </w:r>
          </w:p>
        </w:tc>
        <w:tc>
          <w:tcPr>
            <w:tcW w:w="29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6834,2</w:t>
            </w:r>
          </w:p>
        </w:tc>
      </w:tr>
      <w:tr>
        <w:trPr>
          <w:trHeight w:val="192" w:hRule="atLeast"/>
        </w:trPr>
        <w:tc>
          <w:tcPr>
            <w:tcW w:w="29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2015</w:t>
            </w:r>
          </w:p>
        </w:tc>
        <w:tc>
          <w:tcPr>
            <w:tcW w:w="235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2441,3</w:t>
            </w:r>
          </w:p>
        </w:tc>
        <w:tc>
          <w:tcPr>
            <w:tcW w:w="29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6688,5</w:t>
            </w:r>
          </w:p>
        </w:tc>
      </w:tr>
      <w:tr>
        <w:trPr>
          <w:trHeight w:val="192" w:hRule="atLeast"/>
        </w:trPr>
        <w:tc>
          <w:tcPr>
            <w:tcW w:w="29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2016</w:t>
            </w:r>
          </w:p>
        </w:tc>
        <w:tc>
          <w:tcPr>
            <w:tcW w:w="235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2482,2</w:t>
            </w:r>
          </w:p>
        </w:tc>
        <w:tc>
          <w:tcPr>
            <w:tcW w:w="29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6800,5</w:t>
            </w:r>
          </w:p>
        </w:tc>
      </w:tr>
      <w:tr>
        <w:trPr>
          <w:trHeight w:val="192" w:hRule="atLeast"/>
        </w:trPr>
        <w:tc>
          <w:tcPr>
            <w:tcW w:w="29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2017</w:t>
            </w:r>
          </w:p>
        </w:tc>
        <w:tc>
          <w:tcPr>
            <w:tcW w:w="235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2530,8</w:t>
            </w:r>
          </w:p>
        </w:tc>
        <w:tc>
          <w:tcPr>
            <w:tcW w:w="29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6933,7</w:t>
            </w:r>
          </w:p>
        </w:tc>
      </w:tr>
      <w:tr>
        <w:trPr>
          <w:trHeight w:val="192" w:hRule="atLeast"/>
        </w:trPr>
        <w:tc>
          <w:tcPr>
            <w:tcW w:w="29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2018</w:t>
            </w:r>
          </w:p>
        </w:tc>
        <w:tc>
          <w:tcPr>
            <w:tcW w:w="235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2543,5</w:t>
            </w:r>
          </w:p>
        </w:tc>
        <w:tc>
          <w:tcPr>
            <w:tcW w:w="29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6968,4</w:t>
            </w:r>
          </w:p>
        </w:tc>
      </w:tr>
      <w:tr>
        <w:trPr>
          <w:trHeight w:val="192" w:hRule="atLeast"/>
        </w:trPr>
        <w:tc>
          <w:tcPr>
            <w:tcW w:w="29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2019</w:t>
            </w:r>
          </w:p>
        </w:tc>
        <w:tc>
          <w:tcPr>
            <w:tcW w:w="235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2556,2</w:t>
            </w:r>
          </w:p>
        </w:tc>
        <w:tc>
          <w:tcPr>
            <w:tcW w:w="29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7003,2</w:t>
            </w:r>
          </w:p>
        </w:tc>
      </w:tr>
      <w:tr>
        <w:trPr>
          <w:trHeight w:val="192" w:hRule="atLeast"/>
        </w:trPr>
        <w:tc>
          <w:tcPr>
            <w:tcW w:w="29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2020</w:t>
            </w:r>
          </w:p>
        </w:tc>
        <w:tc>
          <w:tcPr>
            <w:tcW w:w="235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2569,0</w:t>
            </w:r>
          </w:p>
        </w:tc>
        <w:tc>
          <w:tcPr>
            <w:tcW w:w="29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7038,2</w:t>
            </w:r>
          </w:p>
        </w:tc>
      </w:tr>
      <w:tr>
        <w:trPr>
          <w:trHeight w:val="192" w:hRule="atLeast"/>
        </w:trPr>
        <w:tc>
          <w:tcPr>
            <w:tcW w:w="29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235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2581,8</w:t>
            </w:r>
          </w:p>
        </w:tc>
        <w:tc>
          <w:tcPr>
            <w:tcW w:w="29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7073,4</w:t>
            </w:r>
          </w:p>
        </w:tc>
      </w:tr>
      <w:tr>
        <w:trPr>
          <w:trHeight w:val="192" w:hRule="atLeast"/>
        </w:trPr>
        <w:tc>
          <w:tcPr>
            <w:tcW w:w="29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235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2594,7</w:t>
            </w:r>
          </w:p>
        </w:tc>
        <w:tc>
          <w:tcPr>
            <w:tcW w:w="29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7108,8</w:t>
            </w:r>
          </w:p>
        </w:tc>
      </w:tr>
      <w:tr>
        <w:trPr>
          <w:trHeight w:val="192" w:hRule="atLeast"/>
        </w:trPr>
        <w:tc>
          <w:tcPr>
            <w:tcW w:w="29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235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2607,7</w:t>
            </w:r>
          </w:p>
        </w:tc>
        <w:tc>
          <w:tcPr>
            <w:tcW w:w="29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7144,3</w:t>
            </w:r>
          </w:p>
        </w:tc>
      </w:tr>
      <w:tr>
        <w:trPr>
          <w:trHeight w:val="192" w:hRule="atLeast"/>
        </w:trPr>
        <w:tc>
          <w:tcPr>
            <w:tcW w:w="29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2024-2029</w:t>
            </w:r>
          </w:p>
        </w:tc>
        <w:tc>
          <w:tcPr>
            <w:tcW w:w="235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2620,7</w:t>
            </w:r>
          </w:p>
        </w:tc>
        <w:tc>
          <w:tcPr>
            <w:tcW w:w="29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7180,0</w:t>
            </w:r>
          </w:p>
        </w:tc>
      </w:tr>
      <w:tr>
        <w:trPr>
          <w:trHeight w:val="192" w:hRule="atLeast"/>
        </w:trPr>
        <w:tc>
          <w:tcPr>
            <w:tcW w:w="296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790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2030-2034</w:t>
            </w:r>
          </w:p>
        </w:tc>
        <w:tc>
          <w:tcPr>
            <w:tcW w:w="235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2633,8</w:t>
            </w:r>
          </w:p>
        </w:tc>
        <w:tc>
          <w:tcPr>
            <w:tcW w:w="293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7215,9</w:t>
            </w:r>
          </w:p>
        </w:tc>
      </w:tr>
    </w:tbl>
    <w:p>
      <w:pPr>
        <w:pStyle w:val="111"/>
        <w:numPr>
          <w:ilvl w:val="0"/>
          <w:numId w:val="0"/>
        </w:numPr>
        <w:tabs>
          <w:tab w:val="clear" w:pos="709"/>
          <w:tab w:val="left" w:pos="-1392" w:leader="none"/>
        </w:tabs>
        <w:ind w:left="720" w:hanging="600"/>
        <w:jc w:val="both"/>
        <w:rPr/>
      </w:pPr>
      <w:r>
        <w:rPr/>
      </w:r>
      <w:bookmarkStart w:id="137" w:name="_Toc401067988"/>
      <w:bookmarkStart w:id="138" w:name="_Toc401067988"/>
      <w:r>
        <w:br w:type="page"/>
      </w:r>
    </w:p>
    <w:p>
      <w:pPr>
        <w:pStyle w:val="111"/>
        <w:numPr>
          <w:ilvl w:val="0"/>
          <w:numId w:val="0"/>
        </w:numPr>
        <w:tabs>
          <w:tab w:val="clear" w:pos="709"/>
          <w:tab w:val="left" w:pos="-2933" w:leader="none"/>
        </w:tabs>
        <w:ind w:left="701" w:hanging="600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3. </w:t>
      </w:r>
      <w:bookmarkStart w:id="139" w:name="_Toc531704233"/>
      <w:bookmarkStart w:id="140" w:name="_Toc531598956"/>
      <w:r>
        <w:rPr>
          <w:rFonts w:ascii="Liberation Serif" w:hAnsi="Liberation Serif"/>
        </w:rPr>
        <w:t>Прогноз объема сточных вод</w:t>
      </w:r>
      <w:bookmarkEnd w:id="138"/>
      <w:bookmarkEnd w:id="139"/>
      <w:bookmarkEnd w:id="140"/>
    </w:p>
    <w:p>
      <w:pPr>
        <w:pStyle w:val="23"/>
        <w:rPr/>
      </w:pPr>
      <w:r>
        <w:rPr/>
        <w:t xml:space="preserve">3.1. </w:t>
      </w:r>
      <w:bookmarkStart w:id="141" w:name="_Toc531704234"/>
      <w:bookmarkStart w:id="142" w:name="_Toc531598957"/>
      <w:bookmarkStart w:id="143" w:name="_Toc401067989"/>
      <w:bookmarkStart w:id="144" w:name="_Toc390696257"/>
      <w:bookmarkStart w:id="145" w:name="_Toc390696045"/>
      <w:r>
        <w:rPr/>
        <w:t>Сведения о фактическом и ожидаемом поступлении сточных вод в централизованную систему водоотведения</w:t>
      </w:r>
      <w:bookmarkEnd w:id="141"/>
      <w:bookmarkEnd w:id="142"/>
      <w:bookmarkEnd w:id="143"/>
      <w:bookmarkEnd w:id="144"/>
      <w:bookmarkEnd w:id="145"/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>Анализ баланса отведения сточных вод и перспективного водного баланса показал, что за рассматриваемый период объем сточных вод по оптимистическому варианту развития увеличится на 675,1 тыс. м</w:t>
      </w:r>
      <w:r>
        <w:rPr>
          <w:rStyle w:val="Style9"/>
          <w:rFonts w:ascii="Liberation Serif" w:hAnsi="Liberation Serif"/>
          <w:position w:val="24"/>
          <w:sz w:val="16"/>
        </w:rPr>
        <w:t>3</w:t>
      </w:r>
      <w:r>
        <w:rPr>
          <w:rStyle w:val="Style9"/>
          <w:rFonts w:ascii="Liberation Serif" w:hAnsi="Liberation Serif"/>
        </w:rPr>
        <w:t xml:space="preserve"> и составит в 2034 г. 3205,9 тыс. м</w:t>
      </w:r>
      <w:r>
        <w:rPr>
          <w:rStyle w:val="Style9"/>
          <w:rFonts w:ascii="Liberation Serif" w:hAnsi="Liberation Serif"/>
          <w:position w:val="24"/>
          <w:sz w:val="16"/>
        </w:rPr>
        <w:t>3</w:t>
      </w:r>
      <w:r>
        <w:rPr>
          <w:rStyle w:val="Style9"/>
          <w:rFonts w:ascii="Liberation Serif" w:hAnsi="Liberation Serif"/>
        </w:rPr>
        <w:t>.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 xml:space="preserve">Сведения о фактическом поступлении сточных вод в централизованную систему водоотведения по группам подключенных абонентов представлены в таблице </w:t>
      </w:r>
      <w:r>
        <w:rPr>
          <w:rStyle w:val="Style9"/>
          <w:rFonts w:ascii="Liberation Serif" w:hAnsi="Liberation Serif"/>
        </w:rPr>
        <w:fldChar w:fldCharType="begin"/>
      </w:r>
      <w:r>
        <w:rPr>
          <w:rStyle w:val="Style9"/>
          <w:rFonts w:ascii="Liberation Serif" w:hAnsi="Liberation Serif"/>
        </w:rPr>
        <w:instrText> REF _Ref530584463 \h </w:instrText>
      </w:r>
      <w:r>
        <w:rPr>
          <w:rStyle w:val="Style9"/>
          <w:rFonts w:ascii="Liberation Serif" w:hAnsi="Liberation Serif"/>
        </w:rPr>
        <w:fldChar w:fldCharType="separate"/>
      </w:r>
      <w:r>
        <w:rPr>
          <w:rStyle w:val="Style9"/>
          <w:rFonts w:ascii="Liberation Serif" w:hAnsi="Liberation Serif"/>
        </w:rPr>
        <w:t>Таблица 10</w:t>
      </w:r>
      <w:r>
        <w:rPr>
          <w:rStyle w:val="Style9"/>
          <w:rFonts w:ascii="Liberation Serif" w:hAnsi="Liberation Serif"/>
        </w:rPr>
        <w:fldChar w:fldCharType="end"/>
      </w:r>
      <w:r>
        <w:rPr>
          <w:rStyle w:val="Style9"/>
          <w:rFonts w:ascii="Liberation Serif" w:hAnsi="Liberation Serif"/>
        </w:rPr>
        <w:t>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Анализ перспективных балансов говорит о постепенном увеличении стоков со стороны ключевых потребителей – населения городского округа, а также о значительном снижении стоков, приходящихся на собственные нужды организации МУП «Водоканал Камышлов».</w:t>
      </w:r>
    </w:p>
    <w:p>
      <w:pPr>
        <w:pStyle w:val="Style67"/>
        <w:rPr/>
      </w:pPr>
      <w:bookmarkStart w:id="146" w:name="_Ref530584463"/>
      <w:r>
        <w:rPr>
          <w:rStyle w:val="Style9"/>
          <w:rFonts w:ascii="Liberation Serif" w:hAnsi="Liberation Serif"/>
        </w:rPr>
        <w:t>Таблица 10</w:t>
      </w:r>
      <w:bookmarkEnd w:id="146"/>
      <w:r>
        <w:rPr>
          <w:rStyle w:val="Style9"/>
          <w:rFonts w:ascii="Liberation Serif" w:hAnsi="Liberation Serif"/>
        </w:rPr>
        <w:t>. Сведения о фактическом и ожидаемом поступлении сточных вод в централизованную систему водоотведения</w:t>
      </w:r>
    </w:p>
    <w:tbl>
      <w:tblPr>
        <w:tblW w:w="10197" w:type="dxa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"/>
        <w:gridCol w:w="1026"/>
        <w:gridCol w:w="1334"/>
        <w:gridCol w:w="1365"/>
        <w:gridCol w:w="1290"/>
        <w:gridCol w:w="1402"/>
        <w:gridCol w:w="1767"/>
        <w:gridCol w:w="1126"/>
      </w:tblGrid>
      <w:tr>
        <w:trPr>
          <w:trHeight w:val="942" w:hRule="atLeast"/>
        </w:trPr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Год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Годовой объем стоков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от собственного производства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от населения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от предприятий СКБ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от прочих потребителей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неорганизованные притоки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от выгребных ям</w:t>
            </w:r>
          </w:p>
        </w:tc>
      </w:tr>
      <w:tr>
        <w:trPr>
          <w:trHeight w:val="314" w:hRule="atLeast"/>
        </w:trPr>
        <w:tc>
          <w:tcPr>
            <w:tcW w:w="8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</w:tr>
      <w:tr>
        <w:trPr>
          <w:trHeight w:val="314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2013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/>
            </w:pPr>
            <w:r>
              <w:rPr>
                <w:rStyle w:val="Style9"/>
                <w:rFonts w:ascii="Liberation Serif" w:hAnsi="Liberation Serif"/>
              </w:rPr>
              <w:t>2494,5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1001,6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549,1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526,5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417,3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</w:t>
            </w:r>
          </w:p>
        </w:tc>
      </w:tr>
      <w:tr>
        <w:trPr>
          <w:trHeight w:val="314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2015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2441,3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210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447,3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295,8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234,4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59,3</w:t>
            </w:r>
          </w:p>
        </w:tc>
      </w:tr>
      <w:tr>
        <w:trPr>
          <w:trHeight w:val="314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2016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2482,2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200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509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349,1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276,7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45,2</w:t>
            </w:r>
          </w:p>
        </w:tc>
      </w:tr>
      <w:tr>
        <w:trPr>
          <w:trHeight w:val="314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2017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2530,8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250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445,6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/>
            </w:pPr>
            <w:r>
              <w:rPr>
                <w:rStyle w:val="Style9"/>
                <w:rFonts w:ascii="Liberation Serif" w:hAnsi="Liberation Serif"/>
              </w:rPr>
              <w:t>64,2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192,2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75,2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50,9</w:t>
            </w:r>
          </w:p>
        </w:tc>
      </w:tr>
      <w:tr>
        <w:trPr>
          <w:trHeight w:val="314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2018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2606,7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257,5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459,0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66,1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198,0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77,5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52,4</w:t>
            </w:r>
          </w:p>
        </w:tc>
      </w:tr>
      <w:tr>
        <w:trPr>
          <w:trHeight w:val="314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2019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2684,9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214,8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526,4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78,8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214,6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89,5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59,4</w:t>
            </w:r>
          </w:p>
        </w:tc>
      </w:tr>
      <w:tr>
        <w:trPr>
          <w:trHeight w:val="314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2765,5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165,9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597,5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92,3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232,1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92,2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66,7</w:t>
            </w:r>
          </w:p>
        </w:tc>
      </w:tr>
      <w:tr>
        <w:trPr>
          <w:trHeight w:val="314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2848,4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113,9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643,9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95,0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239,1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94,9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68,7</w:t>
            </w:r>
          </w:p>
        </w:tc>
      </w:tr>
      <w:tr>
        <w:trPr>
          <w:trHeight w:val="314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2933,9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117,4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692,6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97,9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246,3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97,8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70,7</w:t>
            </w:r>
          </w:p>
        </w:tc>
      </w:tr>
      <w:tr>
        <w:trPr>
          <w:trHeight w:val="314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3021,9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120,9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743,6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100,8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253,7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100,7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72,9</w:t>
            </w:r>
          </w:p>
        </w:tc>
      </w:tr>
      <w:tr>
        <w:trPr>
          <w:trHeight w:val="314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2024-2029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3112,6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124,5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797,0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103,9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261,3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103,7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75,1</w:t>
            </w:r>
          </w:p>
        </w:tc>
      </w:tr>
      <w:tr>
        <w:trPr>
          <w:trHeight w:val="314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2030-2034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3205,9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128,2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853,0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107,0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269,1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106,9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77,3</w:t>
            </w:r>
          </w:p>
        </w:tc>
      </w:tr>
    </w:tbl>
    <w:p>
      <w:pPr>
        <w:pStyle w:val="Style49"/>
        <w:tabs>
          <w:tab w:val="left" w:pos="142" w:leader="none"/>
        </w:tabs>
        <w:ind w:right="0" w:hanging="0"/>
        <w:rPr>
          <w:rFonts w:ascii="Liberation Serif" w:hAnsi="Liberation Serif"/>
          <w:bCs/>
          <w:szCs w:val="26"/>
        </w:rPr>
      </w:pPr>
      <w:r>
        <w:rPr>
          <w:rFonts w:ascii="Liberation Serif" w:hAnsi="Liberation Serif"/>
          <w:bCs/>
          <w:szCs w:val="26"/>
        </w:rPr>
      </w:r>
      <w:r>
        <w:br w:type="page"/>
      </w:r>
    </w:p>
    <w:p>
      <w:pPr>
        <w:pStyle w:val="23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3.2. </w:t>
      </w:r>
      <w:bookmarkStart w:id="147" w:name="_Toc531704235"/>
      <w:bookmarkStart w:id="148" w:name="_Toc531598958"/>
      <w:bookmarkStart w:id="149" w:name="_Toc401067990"/>
      <w:bookmarkStart w:id="150" w:name="_Toc390696258"/>
      <w:bookmarkStart w:id="151" w:name="_Toc390696046"/>
      <w:r>
        <w:rPr>
          <w:rFonts w:ascii="Liberation Serif" w:hAnsi="Liberation Serif"/>
        </w:rPr>
        <w:t>Описание структуры централизованной системы водоотведения (эксплуатационные и технологические зоны)</w:t>
      </w:r>
      <w:bookmarkEnd w:id="147"/>
      <w:bookmarkEnd w:id="148"/>
      <w:bookmarkEnd w:id="149"/>
      <w:bookmarkEnd w:id="150"/>
      <w:bookmarkEnd w:id="151"/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В Камышловском городском округе технологическая зона и зона централизованного водоотведения совпадают и представлены единственным населенным пунктом: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Технологическая зон (централизованная система водоотведения) города Камышлов.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eastAsia="Calibri" w:ascii="Liberation Serif" w:hAnsi="Liberation Serif"/>
        </w:rPr>
        <w:t xml:space="preserve">В перспективе изменения зоны канализования не предполагается. На расчетный срок в городском округе также остается единственная технологическая зон (централизованная система водоотведения): город Камышлов. Информация о перспективной технологической зоне водоотведения на территории Камышловского городского округа представлена в таблице </w:t>
      </w:r>
      <w:r>
        <w:rPr>
          <w:rStyle w:val="Style9"/>
          <w:rFonts w:ascii="Liberation Serif" w:hAnsi="Liberation Serif"/>
        </w:rPr>
        <w:fldChar w:fldCharType="begin"/>
      </w:r>
      <w:r>
        <w:rPr>
          <w:rStyle w:val="Style9"/>
          <w:rFonts w:ascii="Liberation Serif" w:hAnsi="Liberation Serif"/>
        </w:rPr>
        <w:instrText> REF _Ref530584580 \h </w:instrText>
      </w:r>
      <w:r>
        <w:rPr>
          <w:rStyle w:val="Style9"/>
          <w:rFonts w:ascii="Liberation Serif" w:hAnsi="Liberation Serif"/>
        </w:rPr>
        <w:fldChar w:fldCharType="separate"/>
      </w:r>
      <w:r>
        <w:rPr>
          <w:rStyle w:val="Style9"/>
          <w:rFonts w:ascii="Liberation Serif" w:hAnsi="Liberation Serif"/>
        </w:rPr>
        <w:t>Таблица 11</w:t>
      </w:r>
      <w:r>
        <w:rPr>
          <w:rStyle w:val="Style9"/>
          <w:rFonts w:ascii="Liberation Serif" w:hAnsi="Liberation Serif"/>
        </w:rPr>
        <w:fldChar w:fldCharType="end"/>
      </w:r>
      <w:r>
        <w:rPr>
          <w:rStyle w:val="Style9"/>
          <w:rFonts w:eastAsia="Calibri" w:ascii="Liberation Serif" w:hAnsi="Liberation Serif"/>
        </w:rPr>
        <w:t xml:space="preserve"> и на рисунке </w:t>
      </w:r>
      <w:r>
        <w:rPr>
          <w:rStyle w:val="Style9"/>
          <w:rFonts w:ascii="Liberation Serif" w:hAnsi="Liberation Serif"/>
        </w:rPr>
        <w:fldChar w:fldCharType="begin"/>
      </w:r>
      <w:r>
        <w:rPr>
          <w:rStyle w:val="Style9"/>
          <w:rFonts w:ascii="Liberation Serif" w:hAnsi="Liberation Serif"/>
        </w:rPr>
        <w:instrText> REF _Ref530584609 \h </w:instrText>
      </w:r>
      <w:r>
        <w:rPr>
          <w:rStyle w:val="Style9"/>
          <w:rFonts w:ascii="Liberation Serif" w:hAnsi="Liberation Serif"/>
        </w:rPr>
        <w:fldChar w:fldCharType="separate"/>
      </w:r>
      <w:r>
        <w:rPr>
          <w:rStyle w:val="Style9"/>
          <w:rFonts w:ascii="Liberation Serif" w:hAnsi="Liberation Serif"/>
        </w:rPr>
        <w:t>Рисунок 4</w:t>
      </w:r>
      <w:r>
        <w:rPr>
          <w:rStyle w:val="Style9"/>
          <w:rFonts w:ascii="Liberation Serif" w:hAnsi="Liberation Serif"/>
        </w:rPr>
        <w:fldChar w:fldCharType="end"/>
      </w:r>
      <w:r>
        <w:rPr>
          <w:rStyle w:val="Style9"/>
          <w:rFonts w:eastAsia="Calibri" w:ascii="Liberation Serif" w:hAnsi="Liberation Serif"/>
        </w:rPr>
        <w:t>.</w:t>
      </w:r>
    </w:p>
    <w:p>
      <w:pPr>
        <w:pStyle w:val="Style67"/>
        <w:rPr/>
      </w:pPr>
      <w:bookmarkStart w:id="152" w:name="_Ref530584580"/>
      <w:r>
        <w:rPr>
          <w:rStyle w:val="Style9"/>
          <w:rFonts w:ascii="Liberation Serif" w:hAnsi="Liberation Serif"/>
        </w:rPr>
        <w:t>Таблица 11</w:t>
      </w:r>
      <w:bookmarkEnd w:id="152"/>
      <w:r>
        <w:rPr>
          <w:rStyle w:val="Style9"/>
          <w:rFonts w:ascii="Liberation Serif" w:hAnsi="Liberation Serif"/>
        </w:rPr>
        <w:t>. Описание структуры централизованной системы водоотведения</w:t>
      </w:r>
    </w:p>
    <w:tbl>
      <w:tblPr>
        <w:tblW w:w="100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7"/>
        <w:gridCol w:w="2126"/>
        <w:gridCol w:w="2552"/>
        <w:gridCol w:w="2889"/>
      </w:tblGrid>
      <w:tr>
        <w:trPr>
          <w:trHeight w:val="1174" w:hRule="atLeast"/>
        </w:trPr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tabs>
                <w:tab w:val="clear" w:pos="709"/>
                <w:tab w:val="left" w:pos="142" w:leader="none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szCs w:val="24"/>
              </w:rPr>
              <w:t>Наименование населенных пунктов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tabs>
                <w:tab w:val="clear" w:pos="709"/>
                <w:tab w:val="left" w:pos="142" w:leader="none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szCs w:val="24"/>
              </w:rPr>
              <w:t>Сбор, передача</w:t>
            </w:r>
          </w:p>
          <w:p>
            <w:pPr>
              <w:pStyle w:val="Style40"/>
              <w:tabs>
                <w:tab w:val="clear" w:pos="709"/>
                <w:tab w:val="left" w:pos="142" w:leader="none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/>
              <w:ind w:hanging="0"/>
              <w:jc w:val="center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сточных вод</w:t>
            </w:r>
          </w:p>
          <w:p>
            <w:pPr>
              <w:pStyle w:val="Style40"/>
              <w:tabs>
                <w:tab w:val="clear" w:pos="709"/>
                <w:tab w:val="left" w:pos="142" w:leader="none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/>
              <w:ind w:hanging="0"/>
              <w:jc w:val="center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(выгреб, рельеф,</w:t>
            </w:r>
          </w:p>
          <w:p>
            <w:pPr>
              <w:pStyle w:val="Style40"/>
              <w:tabs>
                <w:tab w:val="clear" w:pos="709"/>
                <w:tab w:val="left" w:pos="142" w:leader="none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szCs w:val="24"/>
              </w:rPr>
              <w:t>центральная канализация)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tabs>
                <w:tab w:val="clear" w:pos="709"/>
                <w:tab w:val="left" w:pos="142" w:leader="none"/>
                <w:tab w:val="left" w:pos="916" w:leader="none"/>
                <w:tab w:val="left" w:pos="230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szCs w:val="24"/>
              </w:rPr>
              <w:t>Очистка сточных вод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tabs>
                <w:tab w:val="clear" w:pos="709"/>
                <w:tab w:val="left" w:pos="142" w:leader="none"/>
                <w:tab w:val="left" w:pos="3436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szCs w:val="24"/>
              </w:rPr>
              <w:t>Сброс сточных вод после очистных сооружений              (водный объект)</w:t>
            </w:r>
          </w:p>
        </w:tc>
      </w:tr>
      <w:tr>
        <w:trPr>
          <w:trHeight w:val="567" w:hRule="atLeast"/>
        </w:trPr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tabs>
                <w:tab w:val="clear" w:pos="709"/>
                <w:tab w:val="left" w:pos="142" w:leader="none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/>
              <w:ind w:hanging="0"/>
              <w:jc w:val="center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г. Камышлов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tabs>
                <w:tab w:val="clear" w:pos="709"/>
                <w:tab w:val="left" w:pos="142" w:leader="none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szCs w:val="24"/>
              </w:rPr>
              <w:t>Центральная канализация, выгреб, рельеф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tabs>
                <w:tab w:val="clear" w:pos="709"/>
                <w:tab w:val="left" w:pos="142" w:leader="none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szCs w:val="24"/>
              </w:rPr>
              <w:t>очистные сооружения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tabs>
                <w:tab w:val="clear" w:pos="709"/>
                <w:tab w:val="left" w:pos="142" w:leader="none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/>
              <w:ind w:hanging="0"/>
              <w:jc w:val="center"/>
              <w:rPr>
                <w:rFonts w:ascii="Liberation Serif" w:hAnsi="Liberation Serif"/>
                <w:szCs w:val="24"/>
              </w:rPr>
            </w:pPr>
            <w:r>
              <w:rPr>
                <w:rFonts w:ascii="Liberation Serif" w:hAnsi="Liberation Serif"/>
                <w:szCs w:val="24"/>
              </w:rPr>
              <w:t>р. Пышма</w:t>
            </w:r>
          </w:p>
        </w:tc>
      </w:tr>
    </w:tbl>
    <w:p>
      <w:pPr>
        <w:pStyle w:val="Style49"/>
        <w:tabs>
          <w:tab w:val="left" w:pos="142" w:leader="none"/>
        </w:tabs>
        <w:ind w:right="0" w:hanging="0"/>
        <w:rPr>
          <w:rFonts w:ascii="Liberation Serif" w:hAnsi="Liberation Serif"/>
          <w:bCs/>
          <w:szCs w:val="26"/>
        </w:rPr>
      </w:pPr>
      <w:r>
        <w:rPr>
          <w:rFonts w:ascii="Liberation Serif" w:hAnsi="Liberation Serif"/>
          <w:bCs/>
          <w:szCs w:val="26"/>
        </w:rPr>
      </w:r>
    </w:p>
    <w:p>
      <w:pPr>
        <w:sectPr>
          <w:headerReference w:type="default" r:id="rId24"/>
          <w:footerReference w:type="default" r:id="rId25"/>
          <w:footerReference w:type="first" r:id="rId26"/>
          <w:type w:val="nextPage"/>
          <w:pgSz w:w="11906" w:h="16838"/>
          <w:pgMar w:left="1134" w:right="567" w:header="720" w:top="708" w:footer="708" w:bottom="1134" w:gutter="0"/>
          <w:pgNumType w:fmt="decimal"/>
          <w:formProt w:val="false"/>
          <w:titlePg/>
          <w:textDirection w:val="lrTb"/>
          <w:docGrid w:type="default" w:linePitch="600" w:charSpace="40960"/>
        </w:sectPr>
        <w:pStyle w:val="Style64"/>
        <w:rPr/>
      </w:pPr>
      <w:r>
        <w:rPr/>
      </w:r>
      <w:bookmarkStart w:id="153" w:name="_Toc390696047"/>
      <w:bookmarkStart w:id="154" w:name="_Toc390696259"/>
      <w:bookmarkStart w:id="155" w:name="_Toc401067991"/>
      <w:bookmarkStart w:id="156" w:name="_Toc390696047"/>
      <w:bookmarkStart w:id="157" w:name="_Toc390696259"/>
      <w:bookmarkStart w:id="158" w:name="_Toc401067991"/>
    </w:p>
    <w:p>
      <w:pPr>
        <w:pStyle w:val="Style66"/>
        <w:rPr/>
      </w:pPr>
      <w:r>
        <w:rPr>
          <w:rStyle w:val="Style9"/>
          <w:rFonts w:ascii="Liberation Serif" w:hAnsi="Liberation Serif"/>
          <w:lang w:eastAsia="ru-RU"/>
        </w:rPr>
        <w:drawing>
          <wp:inline distT="0" distB="0" distL="0" distR="0">
            <wp:extent cx="9239250" cy="5200015"/>
            <wp:effectExtent l="0" t="0" r="0" b="0"/>
            <wp:docPr id="8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20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8"/>
          <w:footerReference w:type="default" r:id="rId29"/>
          <w:type w:val="nextPage"/>
          <w:pgSz w:orient="landscape" w:w="16838" w:h="11906"/>
          <w:pgMar w:left="1134" w:right="1134" w:header="0" w:top="720" w:footer="720" w:bottom="567" w:gutter="0"/>
          <w:pgNumType w:fmt="decimal"/>
          <w:formProt w:val="false"/>
          <w:textDirection w:val="lrTb"/>
          <w:docGrid w:type="default" w:linePitch="600" w:charSpace="40960"/>
        </w:sectPr>
        <w:pStyle w:val="Style66"/>
        <w:rPr/>
      </w:pPr>
      <w:bookmarkStart w:id="159" w:name="_Ref530584609"/>
      <w:r>
        <w:rPr>
          <w:rStyle w:val="Style9"/>
          <w:rFonts w:ascii="Liberation Serif" w:hAnsi="Liberation Serif"/>
        </w:rPr>
        <w:t>Рисунок 4</w:t>
      </w:r>
      <w:bookmarkEnd w:id="159"/>
      <w:r>
        <w:rPr>
          <w:rStyle w:val="Style9"/>
          <w:rFonts w:ascii="Liberation Serif" w:hAnsi="Liberation Serif"/>
        </w:rPr>
        <w:t>. Технологическая зона перспективной системы водоотведения</w:t>
      </w:r>
    </w:p>
    <w:p>
      <w:pPr>
        <w:pStyle w:val="23"/>
        <w:rPr/>
      </w:pPr>
      <w:r>
        <w:rPr/>
        <w:t xml:space="preserve">3.3. </w:t>
      </w:r>
      <w:bookmarkStart w:id="160" w:name="_Toc531704236"/>
      <w:bookmarkStart w:id="161" w:name="_Toc531598959"/>
      <w:r>
        <w:rPr/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156"/>
      <w:bookmarkEnd w:id="157"/>
      <w:bookmarkEnd w:id="158"/>
      <w:bookmarkEnd w:id="160"/>
      <w:bookmarkEnd w:id="161"/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  <w:lang w:eastAsia="ru-RU"/>
        </w:rPr>
      </w:pPr>
      <w:r>
        <w:rPr>
          <w:rFonts w:ascii="Liberation Serif" w:hAnsi="Liberation Serif"/>
          <w:lang w:eastAsia="ru-RU"/>
        </w:rPr>
        <w:t>Расчет объема стоков был выполнен на основании требований раздела 5.1 СП 32.13330.2012 Актуализированная редакция СНиП 2.04.03-85 «Канализация. Наружные сети и сооружения»; раздела 5 СП 31.13330.2012 Актуализированная редакция СНиП 2.04.02-84* «Водоснабжение. Наружные сети и сооружения».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  <w:lang w:eastAsia="ru-RU"/>
        </w:rPr>
        <w:t xml:space="preserve">Результаты расчета по единственной технологической зоне очистных сооружений Камышловского городского округа с разбивкой по годам представлены в таблице </w:t>
      </w:r>
      <w:r>
        <w:rPr>
          <w:rStyle w:val="Style9"/>
          <w:rFonts w:ascii="Liberation Serif" w:hAnsi="Liberation Serif"/>
        </w:rPr>
        <w:fldChar w:fldCharType="begin"/>
      </w:r>
      <w:r>
        <w:rPr>
          <w:rStyle w:val="Style9"/>
          <w:rFonts w:ascii="Liberation Serif" w:hAnsi="Liberation Serif"/>
        </w:rPr>
        <w:instrText> REF _Ref530584463 \h </w:instrText>
      </w:r>
      <w:r>
        <w:rPr>
          <w:rStyle w:val="Style9"/>
          <w:rFonts w:ascii="Liberation Serif" w:hAnsi="Liberation Serif"/>
        </w:rPr>
        <w:fldChar w:fldCharType="separate"/>
      </w:r>
      <w:r>
        <w:rPr>
          <w:rStyle w:val="Style9"/>
          <w:rFonts w:ascii="Liberation Serif" w:hAnsi="Liberation Serif"/>
        </w:rPr>
        <w:t>Таблица 10</w:t>
      </w:r>
      <w:r>
        <w:rPr>
          <w:rStyle w:val="Style9"/>
          <w:rFonts w:ascii="Liberation Serif" w:hAnsi="Liberation Serif"/>
        </w:rPr>
        <w:fldChar w:fldCharType="end"/>
      </w:r>
      <w:r>
        <w:rPr>
          <w:rStyle w:val="Style9"/>
          <w:rFonts w:ascii="Liberation Serif" w:hAnsi="Liberation Serif"/>
          <w:lang w:eastAsia="ru-RU"/>
        </w:rPr>
        <w:t>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  <w:lang w:eastAsia="ru-RU"/>
        </w:rPr>
      </w:pPr>
      <w:r>
        <w:rPr>
          <w:rFonts w:ascii="Liberation Serif" w:hAnsi="Liberation Serif"/>
          <w:lang w:eastAsia="ru-RU"/>
        </w:rPr>
        <w:t>Так как объем сточных вод, который будет поступать на очистные сооружения в 2034 году по оптимистичному варианту развития городского округа больше, чем по пессимистичному, стоит рассматривать требуемую мощность очистных сооружений по первому варианту, как максимально возможную.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  <w:lang w:eastAsia="ru-RU"/>
        </w:rPr>
        <w:t>В соответствии с расчетными данными требуемая мощность городских очистных сооружений составит не менее 9000 тыс. м</w:t>
      </w:r>
      <w:r>
        <w:rPr>
          <w:rStyle w:val="Style9"/>
          <w:rFonts w:ascii="Liberation Serif" w:hAnsi="Liberation Serif"/>
          <w:position w:val="24"/>
          <w:sz w:val="16"/>
          <w:lang w:eastAsia="ru-RU"/>
        </w:rPr>
        <w:t>3</w:t>
      </w:r>
      <w:r>
        <w:rPr>
          <w:rStyle w:val="Style9"/>
          <w:rFonts w:ascii="Liberation Serif" w:hAnsi="Liberation Serif"/>
          <w:lang w:eastAsia="ru-RU"/>
        </w:rPr>
        <w:t>/сут при сохранении сложившихся бассейнов канализования и принятия стоков от перспективных районов застройки.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  <w:lang w:eastAsia="ru-RU"/>
        </w:rPr>
        <w:t>Резерв мощности очистных сооружений достаточен для обеспечения очистки сточных вод, с учетом перспективной застройки и подключением к сети централизованного водоотведения новых потребителей (</w:t>
      </w:r>
      <w:r>
        <w:rPr>
          <w:rStyle w:val="Style9"/>
          <w:rFonts w:ascii="Liberation Serif" w:hAnsi="Liberation Serif"/>
        </w:rPr>
        <w:fldChar w:fldCharType="begin"/>
      </w:r>
      <w:r>
        <w:rPr>
          <w:rStyle w:val="Style9"/>
          <w:rFonts w:ascii="Liberation Serif" w:hAnsi="Liberation Serif"/>
        </w:rPr>
        <w:instrText> REF _Ref530584739 \h </w:instrText>
      </w:r>
      <w:r>
        <w:rPr>
          <w:rStyle w:val="Style9"/>
          <w:rFonts w:ascii="Liberation Serif" w:hAnsi="Liberation Serif"/>
        </w:rPr>
        <w:fldChar w:fldCharType="separate"/>
      </w:r>
      <w:r>
        <w:rPr>
          <w:rStyle w:val="Style9"/>
          <w:rFonts w:ascii="Liberation Serif" w:hAnsi="Liberation Serif"/>
        </w:rPr>
        <w:t>Таблица 12</w:t>
      </w:r>
      <w:r>
        <w:rPr>
          <w:rStyle w:val="Style9"/>
          <w:rFonts w:ascii="Liberation Serif" w:hAnsi="Liberation Serif"/>
        </w:rPr>
        <w:fldChar w:fldCharType="end"/>
      </w:r>
      <w:r>
        <w:rPr>
          <w:rStyle w:val="Style9"/>
          <w:rFonts w:ascii="Liberation Serif" w:hAnsi="Liberation Serif"/>
          <w:lang w:eastAsia="ru-RU"/>
        </w:rPr>
        <w:t>).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  <w:lang w:eastAsia="ru-RU"/>
        </w:rPr>
        <w:t>Исходя из запаса мощности очистных сооружений канализации есть возможность принять на очистку дополнительные объемы сточных вод.</w:t>
      </w:r>
    </w:p>
    <w:p>
      <w:pPr>
        <w:pStyle w:val="23"/>
        <w:rPr/>
      </w:pPr>
      <w:r>
        <w:rPr/>
        <w:t xml:space="preserve">3.4. </w:t>
      </w:r>
      <w:bookmarkStart w:id="162" w:name="_Toc531704237"/>
      <w:bookmarkStart w:id="163" w:name="_Toc531598960"/>
      <w:r>
        <w:rPr/>
        <w:t>Результаты анализа гидравлических режимов и режимов работы элементов централизованной системы водоотведения</w:t>
      </w:r>
      <w:bookmarkEnd w:id="162"/>
      <w:bookmarkEnd w:id="163"/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Отвод и транспортировка канализационных стоков от абонентов Камышловского городского округа производятся через систему напорных и самотечных канализационных трубопроводов.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 результате анализа гидравлических режимов и режимов работы элементов централизованной системы водоотведения для каждого сооружения, обеспечивающих транспортировку сточных вод от самого удаленного абонента до очистных сооружений и характеризующих существующую подачу сточных вод на очистку, возможные дефициты по пропускной способности не выявлены.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 целях поддержания надлежащего технического уровня оборудования, установок, сооружений, передаточных устройств и инженерных сетей в процессе эксплуатации, регулярно должны выполняться графики планово-предупредительных ремонтов по выполнению комплекса работ, направленных на обеспечение исправного состояния оборудования, надежной и экономичной эксплуатации.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Для выявления дефектов на всех вновь построенных сетях водоотведения должны проводиться гидравлические испытания магистральных и внутриквартальных сетей для выявления утечек, прорывов сетей для своевременного проведения ремонтных работ.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Все трубопроводы перед засыпкой траншей и сдачей в эксплуатацию подвергают гидравлическому испытанию. Герметичность самотечных трубопроводов проверяют: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 мокрых грунтах с уровнем грунтовых вод над шелыгой трубы 2,0м и более — на поступление воды в трубопровод;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 сухих грунтах — на утечку воды из трубопровода;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 мокрых грунтах с уровнем грунтовых вод над шелыгой трубы менее 2,0м также на утечку воды из трубопровода.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Испытания по поступлению воды в трубопровод проводят замером притока грунтовой воды на водосливе, установленном в лотке нижнего колодца. Расход воды на водосливе при этом не должен превышать нормативных значений.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Испытание напорных трубопроводов производят до засыпки трубопровода участками не более 1 км. Стальные трубопроводы испытывают на давление 1 МПа. Чугунные трубопроводы испытывают на давление, равное рабочему плюс 0,5 МПа, асбестоцементные трубы ВТ6 — на давление, превышающее рабочее на 0,3 МПа, а трубы марки ВТ3 — на давление, превышающее рабочее на 0,5 МПа. Герметичность напорных и самотечных трубопроводов проверяют через 1-3 суток после заполнения их водой.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Рекомендуется разработать электронную модель системы водоотведения Камышловского городского округа, передать ее в ведение МУП «Водоканал Камышлов» и эксплуатировать с целью проведения гидравлических расчетов.</w:t>
      </w:r>
    </w:p>
    <w:p>
      <w:pPr>
        <w:pStyle w:val="23"/>
        <w:rPr/>
      </w:pPr>
      <w:r>
        <w:rPr/>
        <w:t xml:space="preserve">3.5. </w:t>
      </w:r>
      <w:bookmarkStart w:id="164" w:name="_Toc401067997"/>
      <w:bookmarkStart w:id="165" w:name="_Toc531704238"/>
      <w:bookmarkStart w:id="166" w:name="_Toc531598961"/>
      <w:r>
        <w:rPr/>
        <w:t>Анализ резервов производственных мощностей очистных сооружений системы водоотведения и возможности расширения зоны их действия</w:t>
      </w:r>
      <w:bookmarkEnd w:id="165"/>
      <w:bookmarkEnd w:id="166"/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eastAsia="Calibri" w:ascii="Liberation Serif" w:hAnsi="Liberation Serif"/>
        </w:rPr>
        <w:t>Производительность очистных сооружений в Камышловском городском округе на 2017 год составляет 19000 м</w:t>
      </w:r>
      <w:r>
        <w:rPr>
          <w:rStyle w:val="Style9"/>
          <w:rFonts w:eastAsia="Calibri" w:ascii="Liberation Serif" w:hAnsi="Liberation Serif"/>
          <w:position w:val="24"/>
          <w:sz w:val="16"/>
        </w:rPr>
        <w:t>3</w:t>
      </w:r>
      <w:r>
        <w:rPr>
          <w:rStyle w:val="Style9"/>
          <w:rFonts w:eastAsia="Calibri" w:ascii="Liberation Serif" w:hAnsi="Liberation Serif"/>
        </w:rPr>
        <w:t>/сут. Схемой предлагается реконструкция очистных сооружений с сохранением (возможным снижением) производительности.</w:t>
      </w:r>
    </w:p>
    <w:p>
      <w:pPr>
        <w:sectPr>
          <w:headerReference w:type="default" r:id="rId30"/>
          <w:footerReference w:type="default" r:id="rId31"/>
          <w:footerReference w:type="first" r:id="rId32"/>
          <w:type w:val="nextPage"/>
          <w:pgSz w:w="11906" w:h="16838"/>
          <w:pgMar w:left="1134" w:right="567" w:header="720" w:top="720" w:footer="720" w:bottom="1134" w:gutter="0"/>
          <w:pgNumType w:fmt="decimal"/>
          <w:formProt w:val="false"/>
          <w:titlePg/>
          <w:textDirection w:val="lrTb"/>
          <w:docGrid w:type="default" w:linePitch="600" w:charSpace="40960"/>
        </w:sect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 xml:space="preserve">Информация по резервам/дефицитам производственных мощностей очистных сооружений по оптимистическому и пессимистическому сценариям представлена в таблицах </w:t>
      </w:r>
      <w:r>
        <w:rPr>
          <w:rStyle w:val="Style9"/>
          <w:rFonts w:ascii="Liberation Serif" w:hAnsi="Liberation Serif"/>
        </w:rPr>
        <w:fldChar w:fldCharType="begin"/>
      </w:r>
      <w:r>
        <w:rPr>
          <w:rStyle w:val="Style9"/>
          <w:rFonts w:ascii="Liberation Serif" w:hAnsi="Liberation Serif"/>
        </w:rPr>
        <w:instrText> REF _Ref530584739 \h </w:instrText>
      </w:r>
      <w:r>
        <w:rPr>
          <w:rStyle w:val="Style9"/>
          <w:rFonts w:ascii="Liberation Serif" w:hAnsi="Liberation Serif"/>
        </w:rPr>
        <w:fldChar w:fldCharType="separate"/>
      </w:r>
      <w:r>
        <w:rPr>
          <w:rStyle w:val="Style9"/>
          <w:rFonts w:ascii="Liberation Serif" w:hAnsi="Liberation Serif"/>
        </w:rPr>
        <w:t>Таблица 12</w:t>
      </w:r>
      <w:r>
        <w:rPr>
          <w:rStyle w:val="Style9"/>
          <w:rFonts w:ascii="Liberation Serif" w:hAnsi="Liberation Serif"/>
        </w:rPr>
        <w:fldChar w:fldCharType="end"/>
      </w:r>
      <w:r>
        <w:rPr>
          <w:rStyle w:val="Style9"/>
          <w:rFonts w:ascii="Liberation Serif" w:hAnsi="Liberation Serif"/>
        </w:rPr>
        <w:t xml:space="preserve"> и </w:t>
      </w:r>
      <w:r>
        <w:rPr>
          <w:rStyle w:val="Style9"/>
          <w:rFonts w:ascii="Liberation Serif" w:hAnsi="Liberation Serif"/>
        </w:rPr>
        <w:fldChar w:fldCharType="begin"/>
      </w:r>
      <w:r>
        <w:rPr>
          <w:rStyle w:val="Style9"/>
          <w:rFonts w:ascii="Liberation Serif" w:hAnsi="Liberation Serif"/>
        </w:rPr>
        <w:instrText> REF _Ref530585045 \h </w:instrText>
      </w:r>
      <w:r>
        <w:rPr>
          <w:rStyle w:val="Style9"/>
          <w:rFonts w:ascii="Liberation Serif" w:hAnsi="Liberation Serif"/>
        </w:rPr>
        <w:fldChar w:fldCharType="separate"/>
      </w:r>
      <w:r>
        <w:rPr>
          <w:rStyle w:val="Style9"/>
          <w:rFonts w:ascii="Liberation Serif" w:hAnsi="Liberation Serif"/>
        </w:rPr>
        <w:t>Таблица 13</w:t>
      </w:r>
      <w:r>
        <w:rPr>
          <w:rStyle w:val="Style9"/>
          <w:rFonts w:ascii="Liberation Serif" w:hAnsi="Liberation Serif"/>
        </w:rPr>
        <w:fldChar w:fldCharType="end"/>
      </w:r>
      <w:r>
        <w:rPr>
          <w:rStyle w:val="Style9"/>
          <w:rFonts w:ascii="Liberation Serif" w:hAnsi="Liberation Serif"/>
        </w:rPr>
        <w:t>. Резерв установленных мощностей к 2034 году составит 53,8%, что удовлетворяет требованиям СП 32.13330.2015.</w:t>
      </w:r>
    </w:p>
    <w:p>
      <w:pPr>
        <w:pStyle w:val="Style67"/>
        <w:ind w:right="-314" w:hanging="0"/>
        <w:rPr/>
      </w:pPr>
      <w:bookmarkStart w:id="167" w:name="_Ref530584739"/>
      <w:r>
        <w:rPr>
          <w:rStyle w:val="Style9"/>
          <w:rFonts w:ascii="Liberation Serif" w:hAnsi="Liberation Serif"/>
        </w:rPr>
        <w:t>Таблица 12</w:t>
      </w:r>
      <w:bookmarkEnd w:id="167"/>
      <w:r>
        <w:rPr>
          <w:rStyle w:val="Style9"/>
          <w:rFonts w:ascii="Liberation Serif" w:hAnsi="Liberation Serif"/>
        </w:rPr>
        <w:t>. Резерв/дефицит производственной мощности очистных сооружений (оптимистический сценарий)</w:t>
      </w:r>
    </w:p>
    <w:tbl>
      <w:tblPr>
        <w:tblW w:w="15007" w:type="dxa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1"/>
        <w:gridCol w:w="1401"/>
        <w:gridCol w:w="1844"/>
        <w:gridCol w:w="2300"/>
        <w:gridCol w:w="1979"/>
        <w:gridCol w:w="1988"/>
        <w:gridCol w:w="1599"/>
        <w:gridCol w:w="1575"/>
      </w:tblGrid>
      <w:tr>
        <w:trPr>
          <w:trHeight w:val="996" w:hRule="atLeast"/>
        </w:trPr>
        <w:tc>
          <w:tcPr>
            <w:tcW w:w="2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Камышловский городской округ</w:t>
            </w:r>
          </w:p>
        </w:tc>
        <w:tc>
          <w:tcPr>
            <w:tcW w:w="1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Год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Годовой объем стоков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Среднесуточный объем стоков</w:t>
            </w:r>
          </w:p>
        </w:tc>
        <w:tc>
          <w:tcPr>
            <w:tcW w:w="3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Производительность очистных сооружений</w:t>
            </w:r>
          </w:p>
        </w:tc>
        <w:tc>
          <w:tcPr>
            <w:tcW w:w="3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(-) Дефицит / (+)Резерв</w:t>
            </w:r>
          </w:p>
        </w:tc>
      </w:tr>
      <w:tr>
        <w:trPr>
          <w:trHeight w:val="248" w:hRule="atLeast"/>
        </w:trPr>
        <w:tc>
          <w:tcPr>
            <w:tcW w:w="23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/сут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/сут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/сут</w:t>
            </w:r>
          </w:p>
        </w:tc>
      </w:tr>
      <w:tr>
        <w:trPr>
          <w:trHeight w:val="248" w:hRule="atLeast"/>
        </w:trPr>
        <w:tc>
          <w:tcPr>
            <w:tcW w:w="23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2854,7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7821,1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6935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19000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4080,3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11178,9</w:t>
            </w:r>
          </w:p>
        </w:tc>
      </w:tr>
      <w:tr>
        <w:trPr>
          <w:trHeight w:val="248" w:hRule="atLeast"/>
        </w:trPr>
        <w:tc>
          <w:tcPr>
            <w:tcW w:w="23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2637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7224,7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6935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19000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4298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11775,3</w:t>
            </w:r>
          </w:p>
        </w:tc>
      </w:tr>
      <w:tr>
        <w:trPr>
          <w:trHeight w:val="248" w:hRule="atLeast"/>
        </w:trPr>
        <w:tc>
          <w:tcPr>
            <w:tcW w:w="23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/>
            </w:pPr>
            <w:r>
              <w:rPr>
                <w:rStyle w:val="Style9"/>
                <w:rFonts w:ascii="Liberation Serif" w:hAnsi="Liberation Serif"/>
              </w:rPr>
              <w:t>2494,5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6834,2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4440,5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12165,8</w:t>
            </w:r>
          </w:p>
        </w:tc>
      </w:tr>
      <w:tr>
        <w:trPr>
          <w:trHeight w:val="248" w:hRule="atLeast"/>
        </w:trPr>
        <w:tc>
          <w:tcPr>
            <w:tcW w:w="23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2441,3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6688,5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4493,7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12311,5</w:t>
            </w:r>
          </w:p>
        </w:tc>
      </w:tr>
      <w:tr>
        <w:trPr>
          <w:trHeight w:val="497" w:hRule="atLeast"/>
        </w:trPr>
        <w:tc>
          <w:tcPr>
            <w:tcW w:w="23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2482,2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6800,5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4452,8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12199,5</w:t>
            </w:r>
          </w:p>
        </w:tc>
      </w:tr>
      <w:tr>
        <w:trPr>
          <w:trHeight w:val="747" w:hRule="atLeast"/>
        </w:trPr>
        <w:tc>
          <w:tcPr>
            <w:tcW w:w="23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2530,8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6933,7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4404,2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12066,3</w:t>
            </w:r>
          </w:p>
        </w:tc>
      </w:tr>
      <w:tr>
        <w:trPr>
          <w:trHeight w:val="248" w:hRule="atLeast"/>
        </w:trPr>
        <w:tc>
          <w:tcPr>
            <w:tcW w:w="23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2606,7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7141,7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4328,3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11858,3</w:t>
            </w:r>
          </w:p>
        </w:tc>
      </w:tr>
      <w:tr>
        <w:trPr>
          <w:trHeight w:val="497" w:hRule="atLeast"/>
        </w:trPr>
        <w:tc>
          <w:tcPr>
            <w:tcW w:w="23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2684,9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7356,0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4250,1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11644,0</w:t>
            </w:r>
          </w:p>
        </w:tc>
      </w:tr>
      <w:tr>
        <w:trPr>
          <w:trHeight w:val="248" w:hRule="atLeast"/>
        </w:trPr>
        <w:tc>
          <w:tcPr>
            <w:tcW w:w="23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2765,5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7576,6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4169,5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11423,4</w:t>
            </w:r>
          </w:p>
        </w:tc>
      </w:tr>
      <w:tr>
        <w:trPr>
          <w:trHeight w:val="248" w:hRule="atLeast"/>
        </w:trPr>
        <w:tc>
          <w:tcPr>
            <w:tcW w:w="23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2848,4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7803,9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4086,6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11196,1</w:t>
            </w:r>
          </w:p>
        </w:tc>
      </w:tr>
      <w:tr>
        <w:trPr>
          <w:trHeight w:val="248" w:hRule="atLeast"/>
        </w:trPr>
        <w:tc>
          <w:tcPr>
            <w:tcW w:w="23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2933,9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8038,1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4001,1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10961,9</w:t>
            </w:r>
          </w:p>
        </w:tc>
      </w:tr>
      <w:tr>
        <w:trPr>
          <w:trHeight w:val="248" w:hRule="atLeast"/>
        </w:trPr>
        <w:tc>
          <w:tcPr>
            <w:tcW w:w="23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3021,9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8279,2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3913,1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10720,8</w:t>
            </w:r>
          </w:p>
        </w:tc>
      </w:tr>
      <w:tr>
        <w:trPr>
          <w:trHeight w:val="248" w:hRule="atLeast"/>
        </w:trPr>
        <w:tc>
          <w:tcPr>
            <w:tcW w:w="23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2024-2029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3112,6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8527,6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3822,4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10472,4</w:t>
            </w:r>
          </w:p>
        </w:tc>
      </w:tr>
      <w:tr>
        <w:trPr>
          <w:trHeight w:val="248" w:hRule="atLeast"/>
        </w:trPr>
        <w:tc>
          <w:tcPr>
            <w:tcW w:w="232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2030-2034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3205,9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8783,4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3729,1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10216,6</w:t>
            </w:r>
          </w:p>
        </w:tc>
      </w:tr>
    </w:tbl>
    <w:p>
      <w:pPr>
        <w:pStyle w:val="Style67"/>
        <w:rPr>
          <w:rFonts w:ascii="Liberation Serif" w:hAnsi="Liberation Serif"/>
        </w:rPr>
      </w:pPr>
      <w:r>
        <w:rPr>
          <w:rFonts w:ascii="Liberation Serif" w:hAnsi="Liberation Serif"/>
        </w:rPr>
      </w:r>
      <w:r>
        <w:br w:type="page"/>
      </w:r>
    </w:p>
    <w:p>
      <w:pPr>
        <w:pStyle w:val="Style67"/>
        <w:ind w:right="-456" w:hanging="0"/>
        <w:rPr/>
      </w:pPr>
      <w:bookmarkStart w:id="168" w:name="_Ref530585045"/>
      <w:r>
        <w:rPr>
          <w:rStyle w:val="Style9"/>
          <w:rFonts w:ascii="Liberation Serif" w:hAnsi="Liberation Serif"/>
        </w:rPr>
        <w:t>Таблица 13</w:t>
      </w:r>
      <w:bookmarkEnd w:id="168"/>
      <w:r>
        <w:rPr>
          <w:rStyle w:val="Style9"/>
          <w:rFonts w:ascii="Liberation Serif" w:hAnsi="Liberation Serif"/>
        </w:rPr>
        <w:t>. Резерв/дефицит производственной мощности очистных сооружений (пессимистический сценарий)</w:t>
      </w:r>
    </w:p>
    <w:tbl>
      <w:tblPr>
        <w:tblW w:w="15128" w:type="dxa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9"/>
        <w:gridCol w:w="1413"/>
        <w:gridCol w:w="1859"/>
        <w:gridCol w:w="2319"/>
        <w:gridCol w:w="1994"/>
        <w:gridCol w:w="2005"/>
        <w:gridCol w:w="1613"/>
        <w:gridCol w:w="1586"/>
      </w:tblGrid>
      <w:tr>
        <w:trPr>
          <w:trHeight w:val="859" w:hRule="atLeast"/>
        </w:trPr>
        <w:tc>
          <w:tcPr>
            <w:tcW w:w="2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Камышловский городской округ</w:t>
            </w:r>
          </w:p>
        </w:tc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Год</w:t>
            </w: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Годовой объем стоков</w:t>
            </w:r>
          </w:p>
        </w:tc>
        <w:tc>
          <w:tcPr>
            <w:tcW w:w="23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Среднесуточный объем стоков</w:t>
            </w:r>
          </w:p>
        </w:tc>
        <w:tc>
          <w:tcPr>
            <w:tcW w:w="399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Производительность очистных сооружений</w:t>
            </w:r>
          </w:p>
        </w:tc>
        <w:tc>
          <w:tcPr>
            <w:tcW w:w="319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(-) Дефицит / (+)Резерв</w:t>
            </w:r>
          </w:p>
        </w:tc>
      </w:tr>
      <w:tr>
        <w:trPr>
          <w:trHeight w:val="286" w:hRule="atLeast"/>
        </w:trPr>
        <w:tc>
          <w:tcPr>
            <w:tcW w:w="23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1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8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231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/сут</w:t>
            </w:r>
          </w:p>
        </w:tc>
        <w:tc>
          <w:tcPr>
            <w:tcW w:w="19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/сут</w:t>
            </w:r>
          </w:p>
        </w:tc>
        <w:tc>
          <w:tcPr>
            <w:tcW w:w="16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тыс. 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158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/>
            </w:pP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м</w:t>
            </w:r>
            <w:r>
              <w:rPr>
                <w:rStyle w:val="Style9"/>
                <w:rFonts w:ascii="Liberation Serif" w:hAnsi="Liberation Serif"/>
                <w:color w:val="000000"/>
                <w:position w:val="24"/>
                <w:sz w:val="16"/>
                <w:szCs w:val="24"/>
                <w:lang w:eastAsia="ru-RU"/>
              </w:rPr>
              <w:t>3</w:t>
            </w:r>
            <w:r>
              <w:rPr>
                <w:rStyle w:val="Style9"/>
                <w:rFonts w:ascii="Liberation Serif" w:hAnsi="Liberation Serif"/>
                <w:color w:val="000000"/>
                <w:szCs w:val="24"/>
                <w:lang w:eastAsia="ru-RU"/>
              </w:rPr>
              <w:t>/сут</w:t>
            </w:r>
          </w:p>
        </w:tc>
      </w:tr>
      <w:tr>
        <w:trPr>
          <w:trHeight w:val="286" w:hRule="atLeast"/>
        </w:trPr>
        <w:tc>
          <w:tcPr>
            <w:tcW w:w="23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2011</w:t>
            </w:r>
          </w:p>
        </w:tc>
        <w:tc>
          <w:tcPr>
            <w:tcW w:w="18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2854,7</w:t>
            </w:r>
          </w:p>
        </w:tc>
        <w:tc>
          <w:tcPr>
            <w:tcW w:w="231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7821,1</w:t>
            </w:r>
          </w:p>
        </w:tc>
        <w:tc>
          <w:tcPr>
            <w:tcW w:w="19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6935</w:t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19000</w:t>
            </w:r>
          </w:p>
        </w:tc>
        <w:tc>
          <w:tcPr>
            <w:tcW w:w="16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4080,3</w:t>
            </w:r>
          </w:p>
        </w:tc>
        <w:tc>
          <w:tcPr>
            <w:tcW w:w="158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11178,9</w:t>
            </w:r>
          </w:p>
        </w:tc>
      </w:tr>
      <w:tr>
        <w:trPr>
          <w:trHeight w:val="286" w:hRule="atLeast"/>
        </w:trPr>
        <w:tc>
          <w:tcPr>
            <w:tcW w:w="23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2012</w:t>
            </w:r>
          </w:p>
        </w:tc>
        <w:tc>
          <w:tcPr>
            <w:tcW w:w="18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2637</w:t>
            </w:r>
          </w:p>
        </w:tc>
        <w:tc>
          <w:tcPr>
            <w:tcW w:w="231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7224,7</w:t>
            </w:r>
          </w:p>
        </w:tc>
        <w:tc>
          <w:tcPr>
            <w:tcW w:w="19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6935</w:t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19000</w:t>
            </w:r>
          </w:p>
        </w:tc>
        <w:tc>
          <w:tcPr>
            <w:tcW w:w="16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4298</w:t>
            </w:r>
          </w:p>
        </w:tc>
        <w:tc>
          <w:tcPr>
            <w:tcW w:w="158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11775,3</w:t>
            </w:r>
          </w:p>
        </w:tc>
      </w:tr>
      <w:tr>
        <w:trPr>
          <w:trHeight w:val="286" w:hRule="atLeast"/>
        </w:trPr>
        <w:tc>
          <w:tcPr>
            <w:tcW w:w="23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2013</w:t>
            </w:r>
          </w:p>
        </w:tc>
        <w:tc>
          <w:tcPr>
            <w:tcW w:w="18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/>
            </w:pPr>
            <w:r>
              <w:rPr>
                <w:rStyle w:val="Style9"/>
                <w:rFonts w:ascii="Liberation Serif" w:hAnsi="Liberation Serif"/>
              </w:rPr>
              <w:t>2494,5</w:t>
            </w:r>
          </w:p>
        </w:tc>
        <w:tc>
          <w:tcPr>
            <w:tcW w:w="231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6834,2</w:t>
            </w:r>
          </w:p>
        </w:tc>
        <w:tc>
          <w:tcPr>
            <w:tcW w:w="19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6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4440,5</w:t>
            </w:r>
          </w:p>
        </w:tc>
        <w:tc>
          <w:tcPr>
            <w:tcW w:w="158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12165,8</w:t>
            </w:r>
          </w:p>
        </w:tc>
      </w:tr>
      <w:tr>
        <w:trPr>
          <w:trHeight w:val="286" w:hRule="atLeast"/>
        </w:trPr>
        <w:tc>
          <w:tcPr>
            <w:tcW w:w="23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2015</w:t>
            </w:r>
          </w:p>
        </w:tc>
        <w:tc>
          <w:tcPr>
            <w:tcW w:w="18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2441,3</w:t>
            </w:r>
          </w:p>
        </w:tc>
        <w:tc>
          <w:tcPr>
            <w:tcW w:w="231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6688,5</w:t>
            </w:r>
          </w:p>
        </w:tc>
        <w:tc>
          <w:tcPr>
            <w:tcW w:w="19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6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4493,7</w:t>
            </w:r>
          </w:p>
        </w:tc>
        <w:tc>
          <w:tcPr>
            <w:tcW w:w="158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12311,5</w:t>
            </w:r>
          </w:p>
        </w:tc>
      </w:tr>
      <w:tr>
        <w:trPr>
          <w:trHeight w:val="286" w:hRule="atLeast"/>
        </w:trPr>
        <w:tc>
          <w:tcPr>
            <w:tcW w:w="23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2016</w:t>
            </w:r>
          </w:p>
        </w:tc>
        <w:tc>
          <w:tcPr>
            <w:tcW w:w="18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2482,2</w:t>
            </w:r>
          </w:p>
        </w:tc>
        <w:tc>
          <w:tcPr>
            <w:tcW w:w="231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6800,5</w:t>
            </w:r>
          </w:p>
        </w:tc>
        <w:tc>
          <w:tcPr>
            <w:tcW w:w="19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6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4452,8</w:t>
            </w:r>
          </w:p>
        </w:tc>
        <w:tc>
          <w:tcPr>
            <w:tcW w:w="158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12199,5</w:t>
            </w:r>
          </w:p>
        </w:tc>
      </w:tr>
      <w:tr>
        <w:trPr>
          <w:trHeight w:val="286" w:hRule="atLeast"/>
        </w:trPr>
        <w:tc>
          <w:tcPr>
            <w:tcW w:w="23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2017</w:t>
            </w:r>
          </w:p>
        </w:tc>
        <w:tc>
          <w:tcPr>
            <w:tcW w:w="18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2530,8</w:t>
            </w:r>
          </w:p>
        </w:tc>
        <w:tc>
          <w:tcPr>
            <w:tcW w:w="231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6933,7</w:t>
            </w:r>
          </w:p>
        </w:tc>
        <w:tc>
          <w:tcPr>
            <w:tcW w:w="19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6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4404,2</w:t>
            </w:r>
          </w:p>
        </w:tc>
        <w:tc>
          <w:tcPr>
            <w:tcW w:w="158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12066,3</w:t>
            </w:r>
          </w:p>
        </w:tc>
      </w:tr>
      <w:tr>
        <w:trPr>
          <w:trHeight w:val="286" w:hRule="atLeast"/>
        </w:trPr>
        <w:tc>
          <w:tcPr>
            <w:tcW w:w="23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2018</w:t>
            </w:r>
          </w:p>
        </w:tc>
        <w:tc>
          <w:tcPr>
            <w:tcW w:w="18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2543,5</w:t>
            </w:r>
          </w:p>
        </w:tc>
        <w:tc>
          <w:tcPr>
            <w:tcW w:w="231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6968,4</w:t>
            </w:r>
          </w:p>
        </w:tc>
        <w:tc>
          <w:tcPr>
            <w:tcW w:w="19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6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4391,5</w:t>
            </w:r>
          </w:p>
        </w:tc>
        <w:tc>
          <w:tcPr>
            <w:tcW w:w="158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12031,6</w:t>
            </w:r>
          </w:p>
        </w:tc>
      </w:tr>
      <w:tr>
        <w:trPr>
          <w:trHeight w:val="286" w:hRule="atLeast"/>
        </w:trPr>
        <w:tc>
          <w:tcPr>
            <w:tcW w:w="23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2019</w:t>
            </w:r>
          </w:p>
        </w:tc>
        <w:tc>
          <w:tcPr>
            <w:tcW w:w="18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2556,2</w:t>
            </w:r>
          </w:p>
        </w:tc>
        <w:tc>
          <w:tcPr>
            <w:tcW w:w="231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7003,2</w:t>
            </w:r>
          </w:p>
        </w:tc>
        <w:tc>
          <w:tcPr>
            <w:tcW w:w="19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6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4378,8</w:t>
            </w:r>
          </w:p>
        </w:tc>
        <w:tc>
          <w:tcPr>
            <w:tcW w:w="158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11996,8</w:t>
            </w:r>
          </w:p>
        </w:tc>
      </w:tr>
      <w:tr>
        <w:trPr>
          <w:trHeight w:val="286" w:hRule="atLeast"/>
        </w:trPr>
        <w:tc>
          <w:tcPr>
            <w:tcW w:w="23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2020</w:t>
            </w:r>
          </w:p>
        </w:tc>
        <w:tc>
          <w:tcPr>
            <w:tcW w:w="18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2569,0</w:t>
            </w:r>
          </w:p>
        </w:tc>
        <w:tc>
          <w:tcPr>
            <w:tcW w:w="231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7038,2</w:t>
            </w:r>
          </w:p>
        </w:tc>
        <w:tc>
          <w:tcPr>
            <w:tcW w:w="19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6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4366,0</w:t>
            </w:r>
          </w:p>
        </w:tc>
        <w:tc>
          <w:tcPr>
            <w:tcW w:w="158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11961,8</w:t>
            </w:r>
          </w:p>
        </w:tc>
      </w:tr>
      <w:tr>
        <w:trPr>
          <w:trHeight w:val="286" w:hRule="atLeast"/>
        </w:trPr>
        <w:tc>
          <w:tcPr>
            <w:tcW w:w="23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18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2581,8</w:t>
            </w:r>
          </w:p>
        </w:tc>
        <w:tc>
          <w:tcPr>
            <w:tcW w:w="231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7073,4</w:t>
            </w:r>
          </w:p>
        </w:tc>
        <w:tc>
          <w:tcPr>
            <w:tcW w:w="19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6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4353,2</w:t>
            </w:r>
          </w:p>
        </w:tc>
        <w:tc>
          <w:tcPr>
            <w:tcW w:w="158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11926,6</w:t>
            </w:r>
          </w:p>
        </w:tc>
      </w:tr>
      <w:tr>
        <w:trPr>
          <w:trHeight w:val="286" w:hRule="atLeast"/>
        </w:trPr>
        <w:tc>
          <w:tcPr>
            <w:tcW w:w="23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18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2594,7</w:t>
            </w:r>
          </w:p>
        </w:tc>
        <w:tc>
          <w:tcPr>
            <w:tcW w:w="231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7108,8</w:t>
            </w:r>
          </w:p>
        </w:tc>
        <w:tc>
          <w:tcPr>
            <w:tcW w:w="19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6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4340,3</w:t>
            </w:r>
          </w:p>
        </w:tc>
        <w:tc>
          <w:tcPr>
            <w:tcW w:w="158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11891,2</w:t>
            </w:r>
          </w:p>
        </w:tc>
      </w:tr>
      <w:tr>
        <w:trPr>
          <w:trHeight w:val="286" w:hRule="atLeast"/>
        </w:trPr>
        <w:tc>
          <w:tcPr>
            <w:tcW w:w="23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18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2607,7</w:t>
            </w:r>
          </w:p>
        </w:tc>
        <w:tc>
          <w:tcPr>
            <w:tcW w:w="231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7144,3</w:t>
            </w:r>
          </w:p>
        </w:tc>
        <w:tc>
          <w:tcPr>
            <w:tcW w:w="19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6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4327,3</w:t>
            </w:r>
          </w:p>
        </w:tc>
        <w:tc>
          <w:tcPr>
            <w:tcW w:w="158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11855,7</w:t>
            </w:r>
          </w:p>
        </w:tc>
      </w:tr>
      <w:tr>
        <w:trPr>
          <w:trHeight w:val="286" w:hRule="atLeast"/>
        </w:trPr>
        <w:tc>
          <w:tcPr>
            <w:tcW w:w="23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2024-2029</w:t>
            </w:r>
          </w:p>
        </w:tc>
        <w:tc>
          <w:tcPr>
            <w:tcW w:w="18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2620,7</w:t>
            </w:r>
          </w:p>
        </w:tc>
        <w:tc>
          <w:tcPr>
            <w:tcW w:w="231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7180,0</w:t>
            </w:r>
          </w:p>
        </w:tc>
        <w:tc>
          <w:tcPr>
            <w:tcW w:w="19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6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4314,3</w:t>
            </w:r>
          </w:p>
        </w:tc>
        <w:tc>
          <w:tcPr>
            <w:tcW w:w="158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11820,0</w:t>
            </w:r>
          </w:p>
        </w:tc>
      </w:tr>
      <w:tr>
        <w:trPr>
          <w:trHeight w:val="286" w:hRule="atLeast"/>
        </w:trPr>
        <w:tc>
          <w:tcPr>
            <w:tcW w:w="233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2030-2034</w:t>
            </w:r>
          </w:p>
        </w:tc>
        <w:tc>
          <w:tcPr>
            <w:tcW w:w="185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2633,8</w:t>
            </w:r>
          </w:p>
        </w:tc>
        <w:tc>
          <w:tcPr>
            <w:tcW w:w="2319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7215,9</w:t>
            </w:r>
          </w:p>
        </w:tc>
        <w:tc>
          <w:tcPr>
            <w:tcW w:w="199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6935</w:t>
            </w:r>
          </w:p>
        </w:tc>
        <w:tc>
          <w:tcPr>
            <w:tcW w:w="20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19000</w:t>
            </w:r>
          </w:p>
        </w:tc>
        <w:tc>
          <w:tcPr>
            <w:tcW w:w="16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4301,2</w:t>
            </w:r>
          </w:p>
        </w:tc>
        <w:tc>
          <w:tcPr>
            <w:tcW w:w="1586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11784,1</w:t>
            </w:r>
          </w:p>
        </w:tc>
      </w:tr>
    </w:tbl>
    <w:p>
      <w:pPr>
        <w:sectPr>
          <w:headerReference w:type="default" r:id="rId33"/>
          <w:footerReference w:type="default" r:id="rId34"/>
          <w:footerReference w:type="first" r:id="rId35"/>
          <w:type w:val="nextPage"/>
          <w:pgSz w:orient="landscape" w:w="16838" w:h="11906"/>
          <w:pgMar w:left="1134" w:right="1134" w:header="720" w:top="720" w:footer="720" w:bottom="567" w:gutter="0"/>
          <w:pgNumType w:fmt="decimal"/>
          <w:formProt w:val="false"/>
          <w:titlePg/>
          <w:textDirection w:val="lrTb"/>
          <w:docGrid w:type="default" w:linePitch="600" w:charSpace="40960"/>
        </w:sectPr>
      </w:pPr>
    </w:p>
    <w:p>
      <w:pPr>
        <w:pStyle w:val="111"/>
        <w:numPr>
          <w:ilvl w:val="0"/>
          <w:numId w:val="0"/>
        </w:numPr>
        <w:tabs>
          <w:tab w:val="clear" w:pos="709"/>
          <w:tab w:val="left" w:pos="-2933" w:leader="none"/>
        </w:tabs>
        <w:ind w:left="701" w:hanging="600"/>
        <w:rPr/>
      </w:pPr>
      <w:r>
        <w:rPr>
          <w:rStyle w:val="Style9"/>
          <w:rFonts w:ascii="Liberation Serif" w:hAnsi="Liberation Serif"/>
        </w:rPr>
        <w:t xml:space="preserve">4. </w:t>
      </w:r>
      <w:bookmarkStart w:id="169" w:name="_Toc531704239"/>
      <w:bookmarkStart w:id="170" w:name="_Toc531598962"/>
      <w:r>
        <w:rPr>
          <w:rStyle w:val="Style9"/>
          <w:rFonts w:ascii="Liberation Serif" w:hAnsi="Liberation Serif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164"/>
      <w:bookmarkEnd w:id="169"/>
      <w:bookmarkEnd w:id="170"/>
    </w:p>
    <w:p>
      <w:pPr>
        <w:pStyle w:val="23"/>
        <w:rPr/>
      </w:pPr>
      <w:r>
        <w:rPr/>
        <w:t xml:space="preserve">4.1. </w:t>
      </w:r>
      <w:bookmarkStart w:id="171" w:name="_Toc531704240"/>
      <w:bookmarkStart w:id="172" w:name="_Toc531598963"/>
      <w:bookmarkStart w:id="173" w:name="_Toc401067998"/>
      <w:bookmarkStart w:id="174" w:name="_Toc390696263"/>
      <w:bookmarkStart w:id="175" w:name="_Toc390696051"/>
      <w:r>
        <w:rPr/>
        <w:t>Основные направления, принципы, задачи и целевые показатели развития централизованной системы водоотведения</w:t>
      </w:r>
      <w:bookmarkEnd w:id="171"/>
      <w:bookmarkEnd w:id="172"/>
      <w:bookmarkEnd w:id="173"/>
      <w:bookmarkEnd w:id="174"/>
      <w:bookmarkEnd w:id="175"/>
    </w:p>
    <w:p>
      <w:pPr>
        <w:pStyle w:val="Style64"/>
        <w:tabs>
          <w:tab w:val="clear" w:pos="709"/>
          <w:tab w:val="left" w:pos="142" w:leader="none"/>
        </w:tabs>
        <w:rPr/>
      </w:pPr>
      <w:bookmarkStart w:id="176" w:name="_Toc379359294"/>
      <w:bookmarkStart w:id="177" w:name="_Toc390696052"/>
      <w:bookmarkStart w:id="178" w:name="_Toc390696264"/>
      <w:bookmarkStart w:id="179" w:name="_Toc401067999"/>
      <w:r>
        <w:rPr>
          <w:rStyle w:val="Style9"/>
          <w:rFonts w:ascii="Liberation Serif" w:hAnsi="Liberation Serif"/>
        </w:rPr>
        <w:t xml:space="preserve">Раздел  «Водоотведение»  схемы  водоснабжения  и  водоотведения Камышловского </w:t>
      </w:r>
      <w:r>
        <w:rPr>
          <w:rStyle w:val="Style9"/>
          <w:rFonts w:eastAsia="Calibri" w:ascii="Liberation Serif" w:hAnsi="Liberation Serif"/>
        </w:rPr>
        <w:t xml:space="preserve">городского округа </w:t>
      </w:r>
      <w:r>
        <w:rPr>
          <w:rStyle w:val="Style9"/>
          <w:rFonts w:ascii="Liberation Serif" w:hAnsi="Liberation Serif"/>
        </w:rPr>
        <w:t>на период до 2034 года разработан в целях реализации государственной политики  в сфере  водоотведения,  направленной  на  обеспечение  охраны  здоровья  населения  и улучшения  качества  жизни  населения  путем  обеспечения  бесперебойного  и качественного водоотведения,  снижение негативного воздействия на водные объекты путем  повышения  качества  очистки  сточных  вод,  обеспечение  доступности  услуг водоотведения  для  абонентов  за  счет  развития  централизованной  системы водоотведения.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  <w:lang w:eastAsia="zh-CN"/>
        </w:rPr>
      </w:pPr>
      <w:r>
        <w:rPr>
          <w:rFonts w:ascii="Liberation Serif" w:hAnsi="Liberation Serif"/>
          <w:lang w:eastAsia="zh-CN"/>
        </w:rPr>
        <w:t>В проекте принимаются следующие основные направления развития системы канализации городского округа:</w:t>
      </w:r>
    </w:p>
    <w:p>
      <w:pPr>
        <w:pStyle w:val="Style65"/>
        <w:numPr>
          <w:ilvl w:val="0"/>
          <w:numId w:val="4"/>
        </w:numPr>
        <w:tabs>
          <w:tab w:val="clear" w:pos="-7440"/>
          <w:tab w:val="left" w:pos="142" w:leader="none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снижение темпов роста водоотведения за счет сокращения водопотребления как населением, так и промышленными предприятиями, в результате широкого внедрения мероприятий по ресурсосбережению;</w:t>
      </w:r>
    </w:p>
    <w:p>
      <w:pPr>
        <w:pStyle w:val="Style65"/>
        <w:numPr>
          <w:ilvl w:val="0"/>
          <w:numId w:val="4"/>
        </w:numPr>
        <w:tabs>
          <w:tab w:val="clear" w:pos="-7440"/>
          <w:tab w:val="left" w:pos="142" w:leader="none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совершенствование технологии и качества очистки сточных вод, как за счет реконструкции самих очистных сооружений, так и за счет совершенствования технологических процессов на предприятиях в целях предотвращения сброса в канализацию недопустимых концентраций загрязнения в промстоках;</w:t>
      </w:r>
    </w:p>
    <w:p>
      <w:pPr>
        <w:pStyle w:val="Style65"/>
        <w:numPr>
          <w:ilvl w:val="0"/>
          <w:numId w:val="4"/>
        </w:numPr>
        <w:tabs>
          <w:tab w:val="clear" w:pos="-7440"/>
          <w:tab w:val="left" w:pos="142" w:leader="none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создание единой городской системы ливневой канализации с очистными сооружениями поверхностных стоков;</w:t>
      </w:r>
    </w:p>
    <w:p>
      <w:pPr>
        <w:pStyle w:val="Style65"/>
        <w:numPr>
          <w:ilvl w:val="0"/>
          <w:numId w:val="4"/>
        </w:numPr>
        <w:tabs>
          <w:tab w:val="clear" w:pos="-7440"/>
          <w:tab w:val="left" w:pos="142" w:leader="none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повышение надежности функционирования централизованной системы канализации за счет ее реконструкции и принятия рациональных решений по схеме.</w:t>
      </w:r>
    </w:p>
    <w:p>
      <w:pPr>
        <w:pStyle w:val="Style65"/>
        <w:numPr>
          <w:ilvl w:val="0"/>
          <w:numId w:val="4"/>
        </w:numPr>
        <w:tabs>
          <w:tab w:val="clear" w:pos="-7440"/>
          <w:tab w:val="left" w:pos="142" w:leader="none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удовлетворение потребности в обеспечении услугой водоотведения новых объектов капитального строительства;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Основными задачами, решаемыми в схеме водоотведения являются:</w:t>
      </w:r>
    </w:p>
    <w:p>
      <w:pPr>
        <w:pStyle w:val="Style65"/>
        <w:numPr>
          <w:ilvl w:val="0"/>
          <w:numId w:val="4"/>
        </w:numPr>
        <w:tabs>
          <w:tab w:val="clear" w:pos="-7440"/>
          <w:tab w:val="left" w:pos="142" w:leader="none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достижение нормативного уровня очистки химически загрязненных и хозяйственно-фекальных стоков;</w:t>
      </w:r>
    </w:p>
    <w:p>
      <w:pPr>
        <w:pStyle w:val="Style65"/>
        <w:numPr>
          <w:ilvl w:val="0"/>
          <w:numId w:val="4"/>
        </w:numPr>
        <w:tabs>
          <w:tab w:val="clear" w:pos="-7440"/>
          <w:tab w:val="left" w:pos="142" w:leader="none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обеспечение стабильной и безаварийной работы систем водоотведения с созданием оптимального резерва пропускной способности коммуникаций</w:t>
      </w:r>
    </w:p>
    <w:p>
      <w:pPr>
        <w:pStyle w:val="Style65"/>
        <w:numPr>
          <w:ilvl w:val="0"/>
          <w:numId w:val="4"/>
        </w:numPr>
        <w:tabs>
          <w:tab w:val="clear" w:pos="-7440"/>
          <w:tab w:val="left" w:pos="142" w:leader="none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реконструкция и модернизация канализационной сети с целью повышения надежности и снижения количества отказов системы.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Целевые показатели развития представлены в разделе 7 настоящего документа.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Основным направлением и основной задачей развития системы водоотведения городского округа является строительство централизованной системы канализации в неканализованных районах города, создание необходимой инженерной инфраструктуры в планировочных районах застройки, а также строительство системы ливневой канализации. Проектируемая схема канализации принципиально сохраняет существующую схему канализования городского поселения.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Основные направления развития систем канализации предусматривают повышение качества приема, перекачки и очистки стоков; экологическую безопасность систем очистки сточных вод; обеспечение полной обработки и утилизации осадков.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Первоочередным мероприятием является капитальный ремонт очистных сооружений канализации с целью обеспечения нормативной степени очистки сточных вод.</w:t>
      </w:r>
    </w:p>
    <w:p>
      <w:pPr>
        <w:pStyle w:val="Style64"/>
        <w:rPr>
          <w:rFonts w:ascii="Liberation Serif" w:hAnsi="Liberation Serif"/>
        </w:rPr>
      </w:pPr>
      <w:bookmarkStart w:id="180" w:name="_Ref501376973"/>
      <w:r>
        <w:rPr>
          <w:rFonts w:ascii="Liberation Serif" w:hAnsi="Liberation Serif"/>
        </w:rPr>
        <w:t>Одним из приоритетных направлений социально-экономической политики является повышение уровня жизни населения, содействие развитию человека, прежде всего, за счёт обеспечения граждан доступным жильём с развитой инфраструктурой, образованием, медицинским обслуживанием и социальными услугами.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В генеральном плане Камышловского городского округа принят один сценарий развития поселения с учетом комплексного освоения планируемой территории.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В проектных предложениях по развитию Камышловского городского округа учитывались следующие необходимые условия развития территории поселения:</w:t>
      </w:r>
    </w:p>
    <w:p>
      <w:pPr>
        <w:pStyle w:val="Style65"/>
        <w:numPr>
          <w:ilvl w:val="0"/>
          <w:numId w:val="4"/>
        </w:numPr>
        <w:tabs>
          <w:tab w:val="clear" w:pos="-7440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обеспечение эффективного использования земель на территории городского округа;</w:t>
      </w:r>
    </w:p>
    <w:p>
      <w:pPr>
        <w:pStyle w:val="Style65"/>
        <w:numPr>
          <w:ilvl w:val="0"/>
          <w:numId w:val="4"/>
        </w:numPr>
        <w:tabs>
          <w:tab w:val="clear" w:pos="-7440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обеспечение устойчивого социально-экономического развития городского округа, его производственного потенциала, создание новых мест приложения труда;</w:t>
      </w:r>
    </w:p>
    <w:p>
      <w:pPr>
        <w:pStyle w:val="Style65"/>
        <w:numPr>
          <w:ilvl w:val="0"/>
          <w:numId w:val="4"/>
        </w:numPr>
        <w:tabs>
          <w:tab w:val="clear" w:pos="-7440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улучшение жилищных условий и качества жилищного фонда;</w:t>
      </w:r>
    </w:p>
    <w:p>
      <w:pPr>
        <w:pStyle w:val="Style65"/>
        <w:numPr>
          <w:ilvl w:val="0"/>
          <w:numId w:val="4"/>
        </w:numPr>
        <w:tabs>
          <w:tab w:val="clear" w:pos="-7440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развитие и модернизация инженерной и транспортной инфраструктур;</w:t>
      </w:r>
    </w:p>
    <w:p>
      <w:pPr>
        <w:pStyle w:val="Style65"/>
        <w:numPr>
          <w:ilvl w:val="0"/>
          <w:numId w:val="4"/>
        </w:numPr>
        <w:tabs>
          <w:tab w:val="clear" w:pos="-7440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развитие и равномерное размещение на территории поселения общественных и деловых центров;</w:t>
      </w:r>
    </w:p>
    <w:p>
      <w:pPr>
        <w:pStyle w:val="Style65"/>
        <w:numPr>
          <w:ilvl w:val="0"/>
          <w:numId w:val="4"/>
        </w:numPr>
        <w:tabs>
          <w:tab w:val="clear" w:pos="-7440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обеспечение экологической безопасности среды городского округа.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Численность постоянного населения на 01.01.2017 года составляет 26538 человек. По данным социально-экономического одела Администрации Камышловского городского округа на первый этап реализации программы предполагается рост численности населения до 26573 человек в 2023 году и 26850 человек к 2034 году (оптимистичный сценарий развития).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В случае пессимистичного сценария численность населения городского округа Камышлов будет сокращаться равномерно до 25250 человек к 2034 году.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Проектом генерального плана предлагается деление территории города на шесть планировочных районов условно названных – Центральный, Северный, Восточный, Северо-Восточный, Западный, Южный.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В Центральном и Северном жилом районе предлагается сохранение, уплотнение и реконструкция существующей жилой застройки.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Согласно Генеральному плану и утверждённым (а также неутвержденным) проектам планировки и межевания территорий, на территории Камышловского городского округа планируются к реализации следующие проекты:</w:t>
      </w:r>
    </w:p>
    <w:p>
      <w:pPr>
        <w:pStyle w:val="Style65"/>
        <w:numPr>
          <w:ilvl w:val="0"/>
          <w:numId w:val="4"/>
        </w:numPr>
        <w:tabs>
          <w:tab w:val="clear" w:pos="-7440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Проект планировки и межевания территории в центральной части Камышловского городского округа, ограниченной улицами Урицкого, К. Маркса, Маяковского, Свердлова;</w:t>
      </w:r>
    </w:p>
    <w:p>
      <w:pPr>
        <w:pStyle w:val="Style65"/>
        <w:numPr>
          <w:ilvl w:val="0"/>
          <w:numId w:val="4"/>
        </w:numPr>
        <w:tabs>
          <w:tab w:val="clear" w:pos="-7440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Проект планировки и межевания территории северо-восточной части Камышловского городского округа;</w:t>
      </w:r>
    </w:p>
    <w:p>
      <w:pPr>
        <w:pStyle w:val="Style65"/>
        <w:numPr>
          <w:ilvl w:val="0"/>
          <w:numId w:val="4"/>
        </w:numPr>
        <w:tabs>
          <w:tab w:val="clear" w:pos="-7440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Проект планировки и проект межевания центральной части Камышловского городского округа;</w:t>
      </w:r>
    </w:p>
    <w:p>
      <w:pPr>
        <w:pStyle w:val="Style65"/>
        <w:numPr>
          <w:ilvl w:val="0"/>
          <w:numId w:val="4"/>
        </w:numPr>
        <w:tabs>
          <w:tab w:val="clear" w:pos="-7440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Проект планировки и проекта межевания территории малоэтажной застройки жилого района в восточной части Камышловского городского округа;</w:t>
      </w:r>
    </w:p>
    <w:p>
      <w:pPr>
        <w:pStyle w:val="Style65"/>
        <w:numPr>
          <w:ilvl w:val="0"/>
          <w:numId w:val="4"/>
        </w:numPr>
        <w:tabs>
          <w:tab w:val="clear" w:pos="-7440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Проект планировки и межевания территории в западной части Камышловского городского округа, ограниченной улицами Энгельса, Садовая, Закамышловская, Кутузова;</w:t>
      </w:r>
    </w:p>
    <w:p>
      <w:pPr>
        <w:pStyle w:val="Style65"/>
        <w:numPr>
          <w:ilvl w:val="0"/>
          <w:numId w:val="4"/>
        </w:numPr>
        <w:tabs>
          <w:tab w:val="clear" w:pos="-7440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Проект планировки и межевания территории малоэтажной застройки жилого района в южном районе Камышловского городского округа;</w:t>
      </w:r>
    </w:p>
    <w:p>
      <w:pPr>
        <w:pStyle w:val="Style65"/>
        <w:numPr>
          <w:ilvl w:val="0"/>
          <w:numId w:val="4"/>
        </w:numPr>
        <w:tabs>
          <w:tab w:val="clear" w:pos="-7440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Проект планировки и межевания в северной части Камышловского городского округа.</w:t>
      </w:r>
    </w:p>
    <w:p>
      <w:pPr>
        <w:pStyle w:val="Style64"/>
        <w:rPr/>
      </w:pPr>
      <w:r>
        <w:rPr>
          <w:rStyle w:val="Style9"/>
          <w:rFonts w:ascii="Liberation Serif" w:hAnsi="Liberation Serif"/>
          <w:u w:val="single"/>
        </w:rPr>
        <w:t>Западный район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Западный район один из крупных районов города. Формируется посредством дополнения существующих кварталов жилой застройки проектными, а также за счет освоения территорий сельскохозяйственного использования в северной части микрорайона.</w:t>
      </w:r>
    </w:p>
    <w:p>
      <w:pPr>
        <w:pStyle w:val="Style64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Северо-Восточный район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Согласно материалам проекта планировки территория проектирования занимает площадь 44,65 га. Площадка предоставлена под размещение индивидуальной жилой застройки и малоэтажной секционной жилой застройки с размещением объектов обслуживания населения, также под организацию детского дошкольного учреждения и многопрофильного учреждения детского культурного и спортивного развития с зоной отдыха и размещением спортивных площадок.</w:t>
      </w:r>
    </w:p>
    <w:p>
      <w:pPr>
        <w:pStyle w:val="Style64"/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Восточный район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В настоящее время в границах проекта планировке жилищный фонд отсутствует.</w:t>
      </w:r>
    </w:p>
    <w:p>
      <w:pPr>
        <w:pStyle w:val="Style64"/>
        <w:rPr/>
      </w:pPr>
      <w:r>
        <w:rPr>
          <w:rStyle w:val="Style9"/>
          <w:rFonts w:ascii="Liberation Serif" w:hAnsi="Liberation Serif"/>
        </w:rPr>
        <w:t>К строительству в течение срока реализации проекта планировки предлагается 41 одноквартирный жилой дом (1-2 эт.) общей площадью 4,9 тыс. м</w:t>
      </w:r>
      <w:r>
        <w:rPr>
          <w:rStyle w:val="Style9"/>
          <w:rFonts w:ascii="Liberation Serif" w:hAnsi="Liberation Serif"/>
          <w:position w:val="24"/>
          <w:sz w:val="16"/>
        </w:rPr>
        <w:t>2</w:t>
      </w:r>
      <w:r>
        <w:rPr>
          <w:rStyle w:val="Style9"/>
          <w:rFonts w:ascii="Liberation Serif" w:hAnsi="Liberation Serif"/>
        </w:rPr>
        <w:t>. Коэффициент семейственности составляет 3,0 чел.</w:t>
      </w:r>
    </w:p>
    <w:p>
      <w:pPr>
        <w:pStyle w:val="Style64"/>
        <w:rPr/>
      </w:pPr>
      <w:r>
        <w:rPr>
          <w:rStyle w:val="Style9"/>
          <w:rFonts w:ascii="Liberation Serif" w:hAnsi="Liberation Serif"/>
          <w:spacing w:val="-1"/>
          <w:u w:val="single"/>
        </w:rPr>
        <w:t>Южный</w:t>
      </w:r>
      <w:r>
        <w:rPr>
          <w:rStyle w:val="Style9"/>
          <w:rFonts w:ascii="Liberation Serif" w:hAnsi="Liberation Serif"/>
          <w:spacing w:val="1"/>
          <w:u w:val="single"/>
        </w:rPr>
        <w:t xml:space="preserve"> </w:t>
      </w:r>
      <w:r>
        <w:rPr>
          <w:rStyle w:val="Style9"/>
          <w:rFonts w:ascii="Liberation Serif" w:hAnsi="Liberation Serif"/>
          <w:u w:val="single"/>
        </w:rPr>
        <w:t>район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В основу проекта планировки положены решения разработанных и утвержденных генерального  плана  Камышловского  городского округа  и  Правил  землепользования  и застройки. В соответствии с ранее разработанной градостроительной документацией определено местоположение проектируемого участка, находящегося в селитебной зоне, общей площадью 65,3 га.</w:t>
      </w:r>
    </w:p>
    <w:p>
      <w:pPr>
        <w:sectPr>
          <w:headerReference w:type="default" r:id="rId36"/>
          <w:footerReference w:type="default" r:id="rId37"/>
          <w:footerReference w:type="first" r:id="rId38"/>
          <w:type w:val="nextPage"/>
          <w:pgSz w:w="11906" w:h="16838"/>
          <w:pgMar w:left="1134" w:right="567" w:header="720" w:top="720" w:footer="720" w:bottom="1134" w:gutter="0"/>
          <w:pgNumType w:fmt="decimal"/>
          <w:formProt w:val="false"/>
          <w:titlePg/>
          <w:textDirection w:val="lrTb"/>
          <w:docGrid w:type="default" w:linePitch="600" w:charSpace="40960"/>
        </w:sectPr>
        <w:pStyle w:val="Style64"/>
        <w:rPr/>
      </w:pPr>
      <w:r>
        <w:rPr>
          <w:rStyle w:val="Style9"/>
          <w:rFonts w:ascii="Liberation Serif" w:hAnsi="Liberation Serif"/>
        </w:rPr>
        <w:t xml:space="preserve">Перечень мероприятий по развитию систем водоотведения различных районов Камышловского городского округа представлен в таблице </w:t>
      </w:r>
      <w:r>
        <w:rPr>
          <w:rStyle w:val="Style9"/>
          <w:rFonts w:ascii="Liberation Serif" w:hAnsi="Liberation Serif"/>
        </w:rPr>
        <w:fldChar w:fldCharType="begin"/>
      </w:r>
      <w:r>
        <w:rPr>
          <w:rStyle w:val="Style9"/>
          <w:rFonts w:ascii="Liberation Serif" w:hAnsi="Liberation Serif"/>
        </w:rPr>
        <w:instrText> REF _Ref531009686 \h </w:instrText>
      </w:r>
      <w:r>
        <w:rPr>
          <w:rStyle w:val="Style9"/>
          <w:rFonts w:ascii="Liberation Serif" w:hAnsi="Liberation Serif"/>
        </w:rPr>
        <w:fldChar w:fldCharType="separate"/>
      </w:r>
      <w:r>
        <w:rPr>
          <w:rStyle w:val="Style9"/>
          <w:rFonts w:ascii="Liberation Serif" w:hAnsi="Liberation Serif"/>
        </w:rPr>
        <w:t>Таблица 14</w:t>
      </w:r>
      <w:r>
        <w:rPr>
          <w:rStyle w:val="Style9"/>
          <w:rFonts w:ascii="Liberation Serif" w:hAnsi="Liberation Serif"/>
        </w:rPr>
        <w:fldChar w:fldCharType="end"/>
      </w:r>
      <w:r>
        <w:rPr>
          <w:rStyle w:val="Style9"/>
          <w:rFonts w:ascii="Liberation Serif" w:hAnsi="Liberation Serif"/>
        </w:rPr>
        <w:t>.</w:t>
      </w:r>
    </w:p>
    <w:p>
      <w:pPr>
        <w:pStyle w:val="Style70"/>
        <w:rPr/>
      </w:pPr>
      <w:bookmarkStart w:id="181" w:name="_Ref501376973"/>
      <w:bookmarkStart w:id="182" w:name="_Ref531009686"/>
      <w:r>
        <w:rPr>
          <w:rStyle w:val="Style9"/>
          <w:rFonts w:ascii="Liberation Serif" w:hAnsi="Liberation Serif"/>
        </w:rPr>
        <w:t>Таблица 14</w:t>
      </w:r>
      <w:bookmarkEnd w:id="181"/>
      <w:bookmarkEnd w:id="182"/>
      <w:r>
        <w:rPr>
          <w:rStyle w:val="Style9"/>
          <w:rFonts w:ascii="Liberation Serif" w:hAnsi="Liberation Serif"/>
        </w:rPr>
        <w:t>. Мероприятия по обеспечению проектируемых районов Камышловского городского округа</w:t>
      </w:r>
    </w:p>
    <w:tbl>
      <w:tblPr>
        <w:tblW w:w="14894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5"/>
        <w:gridCol w:w="2561"/>
        <w:gridCol w:w="11168"/>
      </w:tblGrid>
      <w:tr>
        <w:trPr>
          <w:tblHeader w:val="true"/>
          <w:trHeight w:val="70" w:hRule="atLeast"/>
        </w:trPr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  <w:b/>
                <w:b/>
              </w:rPr>
            </w:pPr>
            <w:r>
              <w:rPr>
                <w:rFonts w:ascii="Liberation Serif" w:hAnsi="Liberation Serif"/>
                <w:b/>
              </w:rPr>
              <w:t xml:space="preserve">№ </w:t>
            </w:r>
            <w:r>
              <w:rPr>
                <w:rFonts w:ascii="Liberation Serif" w:hAnsi="Liberation Serif"/>
                <w:b/>
              </w:rPr>
              <w:t>п/п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  <w:b/>
                <w:b/>
              </w:rPr>
            </w:pPr>
            <w:r>
              <w:rPr>
                <w:rFonts w:ascii="Liberation Serif" w:hAnsi="Liberation Serif"/>
                <w:b/>
              </w:rPr>
              <w:t>Местоположение</w:t>
            </w:r>
          </w:p>
        </w:tc>
        <w:tc>
          <w:tcPr>
            <w:tcW w:w="1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  <w:b/>
                <w:b/>
              </w:rPr>
            </w:pPr>
            <w:r>
              <w:rPr>
                <w:rFonts w:ascii="Liberation Serif" w:hAnsi="Liberation Serif"/>
                <w:b/>
              </w:rPr>
              <w:t>Мероприятия</w:t>
            </w:r>
          </w:p>
        </w:tc>
      </w:tr>
      <w:tr>
        <w:trPr>
          <w:trHeight w:val="122" w:hRule="atLeast"/>
        </w:trPr>
        <w:tc>
          <w:tcPr>
            <w:tcW w:w="14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tabs>
                <w:tab w:val="clear" w:pos="709"/>
                <w:tab w:val="left" w:pos="567" w:leader="none"/>
              </w:tabs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ВОДООТВЕДЕНИЕ</w:t>
            </w:r>
          </w:p>
        </w:tc>
      </w:tr>
      <w:tr>
        <w:trPr>
          <w:trHeight w:val="130" w:hRule="atLeast"/>
        </w:trPr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tabs>
                <w:tab w:val="clear" w:pos="709"/>
                <w:tab w:val="left" w:pos="567" w:leader="none"/>
              </w:tabs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11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jc w:val="left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Западная часть</w:t>
            </w:r>
          </w:p>
        </w:tc>
        <w:tc>
          <w:tcPr>
            <w:tcW w:w="1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4"/>
              <w:numPr>
                <w:ilvl w:val="0"/>
                <w:numId w:val="5"/>
              </w:numPr>
              <w:tabs>
                <w:tab w:val="left" w:pos="485" w:leader="none"/>
              </w:tabs>
              <w:spacing w:lineRule="auto" w:line="240"/>
              <w:ind w:lef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Отведение хозяйственно – бытовых стоков с проектируемой территории решается с помощью системы напорных и самотечных коллекторов, проложенных в соответствии с рельефом. Проектом предложены полиэтиленовые трубы диметром 90, 150, 200, 250мм</w:t>
            </w:r>
          </w:p>
          <w:p>
            <w:pPr>
              <w:pStyle w:val="Style44"/>
              <w:numPr>
                <w:ilvl w:val="0"/>
                <w:numId w:val="5"/>
              </w:numPr>
              <w:tabs>
                <w:tab w:val="left" w:pos="485" w:leader="none"/>
              </w:tabs>
              <w:spacing w:lineRule="auto" w:line="240"/>
              <w:ind w:lef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Строительство нового самотечного коллектора и насосной канализационной станции по ул. Энгельса;</w:t>
            </w:r>
          </w:p>
          <w:p>
            <w:pPr>
              <w:pStyle w:val="Style44"/>
              <w:numPr>
                <w:ilvl w:val="0"/>
                <w:numId w:val="5"/>
              </w:numPr>
              <w:tabs>
                <w:tab w:val="left" w:pos="485" w:leader="none"/>
              </w:tabs>
              <w:spacing w:lineRule="auto" w:line="240"/>
              <w:ind w:lef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Строительство коллекторов по ул. Швельниса, Закамышловская, М. Васильева, Островского, Заречная, Барабинская;</w:t>
            </w:r>
          </w:p>
          <w:p>
            <w:pPr>
              <w:pStyle w:val="Style44"/>
              <w:numPr>
                <w:ilvl w:val="0"/>
                <w:numId w:val="5"/>
              </w:numPr>
              <w:tabs>
                <w:tab w:val="left" w:pos="485" w:leader="none"/>
              </w:tabs>
              <w:spacing w:lineRule="auto" w:line="240"/>
              <w:ind w:lef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Реконструкция напорного коллектора по ул. Кирова;</w:t>
            </w:r>
          </w:p>
          <w:p>
            <w:pPr>
              <w:pStyle w:val="Style44"/>
              <w:numPr>
                <w:ilvl w:val="0"/>
                <w:numId w:val="5"/>
              </w:numPr>
              <w:tabs>
                <w:tab w:val="left" w:pos="485" w:leader="none"/>
              </w:tabs>
              <w:spacing w:lineRule="auto" w:line="240"/>
              <w:ind w:lef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Реконструкция очистных сооружений, в связи с увеличением объема хозяйственно-бытовых стоков.</w:t>
            </w:r>
          </w:p>
        </w:tc>
      </w:tr>
      <w:tr>
        <w:trPr>
          <w:trHeight w:val="130" w:hRule="atLeast"/>
        </w:trPr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tabs>
                <w:tab w:val="clear" w:pos="709"/>
                <w:tab w:val="left" w:pos="567" w:leader="none"/>
              </w:tabs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22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jc w:val="left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Центральный Урицкого</w:t>
            </w:r>
          </w:p>
        </w:tc>
        <w:tc>
          <w:tcPr>
            <w:tcW w:w="1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4"/>
              <w:numPr>
                <w:ilvl w:val="0"/>
                <w:numId w:val="5"/>
              </w:numPr>
              <w:tabs>
                <w:tab w:val="left" w:pos="485" w:leader="none"/>
              </w:tabs>
              <w:spacing w:lineRule="auto" w:line="240"/>
              <w:ind w:lef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Отведение хозяйственно – бытовых стоков с проектируемой территории решается с помощью системы самотечных коллекторов, проложенных в соответствии с решениями раздела «Вертикальная планировка территории». Коллекторы предусматривается проложить по ул. Свердлова, ул. Карла Маркса, ул. Комсомольская.</w:t>
            </w:r>
          </w:p>
        </w:tc>
      </w:tr>
      <w:tr>
        <w:trPr>
          <w:trHeight w:val="554" w:hRule="atLeast"/>
        </w:trPr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tabs>
                <w:tab w:val="clear" w:pos="709"/>
                <w:tab w:val="left" w:pos="567" w:leader="none"/>
              </w:tabs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33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jc w:val="left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Центральная часть</w:t>
            </w:r>
          </w:p>
        </w:tc>
        <w:tc>
          <w:tcPr>
            <w:tcW w:w="1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4"/>
              <w:numPr>
                <w:ilvl w:val="0"/>
                <w:numId w:val="5"/>
              </w:numPr>
              <w:tabs>
                <w:tab w:val="left" w:pos="485" w:leader="none"/>
              </w:tabs>
              <w:spacing w:lineRule="auto" w:line="240"/>
              <w:ind w:lef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В дальнейшем предусматривается прокладка коллекторов ливневой канализации по улицам Ленина, Куйбышева, Красных Орлов, Вокзальной, Ленинградской и Энгельса, в соответствии с решениями Генерального плана Свердловской области Муниципального образования Камышловский городской округ, а также по отдельным участкам ул. Гагарина-Советской-Жукова, от участка проектируемой гостиницы и от застройки в районе ул. Куйбышева, 13-15.</w:t>
            </w:r>
          </w:p>
          <w:p>
            <w:pPr>
              <w:pStyle w:val="Style44"/>
              <w:numPr>
                <w:ilvl w:val="0"/>
                <w:numId w:val="5"/>
              </w:numPr>
              <w:tabs>
                <w:tab w:val="left" w:pos="485" w:leader="none"/>
              </w:tabs>
              <w:spacing w:lineRule="auto" w:line="240"/>
              <w:ind w:lef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Хозяйственно-бытовые стоки системой самотечных коллекторов поступают в два основных коллектора, расположенных в границах проектирования: D=200-300 мм - по ул. Гагарина, Жукова; D=200-300.мм - по ул. Ленинградской, затем собираются в общий самотечный коллектор D=300-400-600 мм и поступают на канализационную насосную станцию перекачки КНС «Пролетарская», которая по напорному коллектору D=600.мм осуществляет подачу стоков на канализационные очистные сооружения полной биологической очистки, по главному городскому коллектору D=1000 мм.</w:t>
            </w:r>
          </w:p>
          <w:p>
            <w:pPr>
              <w:pStyle w:val="Style44"/>
              <w:numPr>
                <w:ilvl w:val="0"/>
                <w:numId w:val="5"/>
              </w:numPr>
              <w:tabs>
                <w:tab w:val="left" w:pos="485" w:leader="none"/>
              </w:tabs>
              <w:spacing w:lineRule="auto" w:line="240"/>
              <w:ind w:lef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Проектом предлагается перекладка коллектора по ул. Гагарина от ул. Советской до ул. Жукова с заменой D=200 мм на D=300 мм.</w:t>
              <w:tab/>
            </w:r>
          </w:p>
          <w:p>
            <w:pPr>
              <w:pStyle w:val="Style44"/>
              <w:numPr>
                <w:ilvl w:val="0"/>
                <w:numId w:val="5"/>
              </w:numPr>
              <w:tabs>
                <w:tab w:val="left" w:pos="485" w:leader="none"/>
              </w:tabs>
              <w:spacing w:lineRule="auto" w:line="240"/>
              <w:ind w:lef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В границах ул. Ленина – Куйбышева – Ленинградская - Энгельса предлагается осуществить прокладку самотечных коллекторов по ул. Ленина, Куйбышева, Советская, Комсомольская.</w:t>
              <w:tab/>
              <w:tab/>
            </w:r>
          </w:p>
          <w:p>
            <w:pPr>
              <w:pStyle w:val="Style44"/>
              <w:numPr>
                <w:ilvl w:val="0"/>
                <w:numId w:val="5"/>
              </w:numPr>
              <w:tabs>
                <w:tab w:val="left" w:pos="485" w:leader="none"/>
              </w:tabs>
              <w:spacing w:lineRule="auto" w:line="240"/>
              <w:ind w:lef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Обеспечению централизованной системой канализации также подлежит сложившаяся индивидуальная жилая застройка, расположенная севернее ул. Куйбышева.</w:t>
            </w:r>
          </w:p>
        </w:tc>
      </w:tr>
      <w:tr>
        <w:trPr>
          <w:trHeight w:val="130" w:hRule="atLeast"/>
        </w:trPr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tabs>
                <w:tab w:val="clear" w:pos="709"/>
                <w:tab w:val="left" w:pos="567" w:leader="none"/>
              </w:tabs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44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jc w:val="left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Северо-восточная часть</w:t>
            </w:r>
          </w:p>
        </w:tc>
        <w:tc>
          <w:tcPr>
            <w:tcW w:w="1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4"/>
              <w:numPr>
                <w:ilvl w:val="0"/>
                <w:numId w:val="5"/>
              </w:numPr>
              <w:tabs>
                <w:tab w:val="left" w:pos="485" w:leader="none"/>
              </w:tabs>
              <w:spacing w:lineRule="auto" w:line="240"/>
              <w:ind w:lef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Согласно письму (исх. №991К от 14 декабря 2012г.) эксплуатирующей организацией МУП «Водоканал Камышлов» установлено 2 точки подключения –хоз-бытовой коллектор по ул. Карловская (Д 300 мм) и хоз-бытовой коллектор по ул. Дзержинского (Д 250 мм). Глубина заложения труб – 2,5 м. Врезка в существующую систему возможна при условии замены действующей канализационной сети с увеличением диаметра 160 мм на 300 мм от ул. Дзержинского до КНС по ул. Боровая.</w:t>
            </w:r>
          </w:p>
          <w:p>
            <w:pPr>
              <w:pStyle w:val="Style44"/>
              <w:numPr>
                <w:ilvl w:val="0"/>
                <w:numId w:val="5"/>
              </w:numPr>
              <w:tabs>
                <w:tab w:val="left" w:pos="485" w:leader="none"/>
              </w:tabs>
              <w:spacing w:lineRule="auto" w:line="240"/>
              <w:ind w:lef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Проектом предусмотрена организация сбора бытовых стоков самотечными коллекторами с устройством 1 напорного участка (Улица 4). Строительство КНС необходимо для перекачки сточных бытовых вод из бессточного участка. Диаметры самотечных коллекторов – 200 мм, напорного – 110 мм.</w:t>
            </w:r>
          </w:p>
          <w:p>
            <w:pPr>
              <w:pStyle w:val="Style44"/>
              <w:numPr>
                <w:ilvl w:val="0"/>
                <w:numId w:val="5"/>
              </w:numPr>
              <w:tabs>
                <w:tab w:val="left" w:pos="485" w:leader="none"/>
              </w:tabs>
              <w:spacing w:lineRule="auto" w:line="240"/>
              <w:ind w:lef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Насосная станция предлагается в перекрестке улиц ул. Северная — Улица 4. Камера гашения запроектирована в перекрестке Улица 2 – Улица 4. Собирающий коллектор предложен самотечным, оттрассированн по Улице 4 (участок от Улицы 5 до ул. Северная диаметр 200 мм, от Улицы 2 и до точки врезки – диаметр 250 мм).</w:t>
            </w:r>
          </w:p>
        </w:tc>
      </w:tr>
      <w:tr>
        <w:trPr>
          <w:trHeight w:val="130" w:hRule="atLeast"/>
        </w:trPr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tabs>
                <w:tab w:val="clear" w:pos="709"/>
                <w:tab w:val="left" w:pos="567" w:leader="none"/>
              </w:tabs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55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jc w:val="left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Южная часть</w:t>
            </w:r>
          </w:p>
        </w:tc>
        <w:tc>
          <w:tcPr>
            <w:tcW w:w="1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4"/>
              <w:numPr>
                <w:ilvl w:val="0"/>
                <w:numId w:val="5"/>
              </w:numPr>
              <w:tabs>
                <w:tab w:val="left" w:pos="485" w:leader="none"/>
              </w:tabs>
              <w:spacing w:lineRule="auto" w:line="240"/>
              <w:ind w:left="0" w:hanging="0"/>
              <w:jc w:val="left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Запланировано строительство сети канализации протяженностью 1050 п.м.</w:t>
            </w:r>
          </w:p>
        </w:tc>
      </w:tr>
      <w:tr>
        <w:trPr>
          <w:trHeight w:val="130" w:hRule="atLeast"/>
        </w:trPr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tabs>
                <w:tab w:val="clear" w:pos="709"/>
                <w:tab w:val="left" w:pos="567" w:leader="none"/>
              </w:tabs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66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jc w:val="left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Восточная</w:t>
            </w:r>
          </w:p>
        </w:tc>
        <w:tc>
          <w:tcPr>
            <w:tcW w:w="1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4"/>
              <w:numPr>
                <w:ilvl w:val="0"/>
                <w:numId w:val="5"/>
              </w:numPr>
              <w:tabs>
                <w:tab w:val="left" w:pos="485" w:leader="none"/>
              </w:tabs>
              <w:spacing w:lineRule="auto" w:line="240"/>
              <w:ind w:lef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Отведение стоков предполагается в существующий самотечный коллектор по ул. Северная с дальнейшим отведением стоков на городские очистные сооружения.</w:t>
            </w:r>
          </w:p>
          <w:p>
            <w:pPr>
              <w:pStyle w:val="Style44"/>
              <w:numPr>
                <w:ilvl w:val="0"/>
                <w:numId w:val="5"/>
              </w:numPr>
              <w:tabs>
                <w:tab w:val="left" w:pos="485" w:leader="none"/>
              </w:tabs>
              <w:spacing w:lineRule="auto" w:line="240"/>
              <w:ind w:lef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Схема отведения хозяйственно-бытовых стоков предложена самотечная.</w:t>
            </w:r>
          </w:p>
        </w:tc>
      </w:tr>
      <w:tr>
        <w:trPr>
          <w:trHeight w:val="38" w:hRule="atLeast"/>
        </w:trPr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tabs>
                <w:tab w:val="clear" w:pos="709"/>
                <w:tab w:val="left" w:pos="567" w:leader="none"/>
              </w:tabs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77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jc w:val="left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Западная часть</w:t>
            </w:r>
          </w:p>
          <w:p>
            <w:pPr>
              <w:pStyle w:val="Style68"/>
              <w:jc w:val="left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Ул. Энегельса</w:t>
            </w:r>
          </w:p>
        </w:tc>
        <w:tc>
          <w:tcPr>
            <w:tcW w:w="1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4"/>
              <w:numPr>
                <w:ilvl w:val="0"/>
                <w:numId w:val="5"/>
              </w:numPr>
              <w:tabs>
                <w:tab w:val="left" w:pos="485" w:leader="none"/>
              </w:tabs>
              <w:spacing w:lineRule="auto" w:line="240"/>
              <w:ind w:lef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Отвод хозяйственно-бытовых стоков от застройки осуществляется с помощью системы самотечных коллекторов, на проектируемую канализационную станцию с последующим подключением к существующей системе города. Далее сброс жидких бытовых отходов производится на очистные сооружения г. Камышлова.</w:t>
            </w:r>
          </w:p>
          <w:p>
            <w:pPr>
              <w:pStyle w:val="Style44"/>
              <w:numPr>
                <w:ilvl w:val="0"/>
                <w:numId w:val="5"/>
              </w:numPr>
              <w:tabs>
                <w:tab w:val="left" w:pos="485" w:leader="none"/>
              </w:tabs>
              <w:spacing w:lineRule="auto" w:line="240"/>
              <w:ind w:lef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Проектом предлагаются полиэтиленовые трубы диаметром 150мм. Расчёт диаметра канализационных коллекторов произведён по укрупнённым показателям и требует уточнения на последующих стадиях проектирования</w:t>
            </w:r>
          </w:p>
        </w:tc>
      </w:tr>
      <w:tr>
        <w:trPr>
          <w:trHeight w:val="38" w:hRule="atLeast"/>
        </w:trPr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tabs>
                <w:tab w:val="clear" w:pos="709"/>
                <w:tab w:val="left" w:pos="567" w:leader="none"/>
              </w:tabs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88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jc w:val="left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Северная часть</w:t>
            </w:r>
          </w:p>
        </w:tc>
        <w:tc>
          <w:tcPr>
            <w:tcW w:w="1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4"/>
              <w:numPr>
                <w:ilvl w:val="0"/>
                <w:numId w:val="5"/>
              </w:numPr>
              <w:tabs>
                <w:tab w:val="left" w:pos="485" w:leader="none"/>
              </w:tabs>
              <w:spacing w:lineRule="auto" w:line="240"/>
              <w:ind w:left="0" w:hanging="0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Канализование застройки данного района решается путем присоединения проектируемых самотечных коллекторов хозяйственно-бытовой канализации к существующему коллектору по ул. Розы Люксембург, с дальнейшим отведением на очистные сооружения города.</w:t>
            </w:r>
          </w:p>
        </w:tc>
      </w:tr>
    </w:tbl>
    <w:p>
      <w:pPr>
        <w:sectPr>
          <w:headerReference w:type="default" r:id="rId39"/>
          <w:footerReference w:type="default" r:id="rId40"/>
          <w:footerReference w:type="first" r:id="rId41"/>
          <w:type w:val="nextPage"/>
          <w:pgSz w:orient="landscape" w:w="16838" w:h="11906"/>
          <w:pgMar w:left="1134" w:right="1134" w:header="720" w:top="720" w:footer="720" w:bottom="567" w:gutter="0"/>
          <w:pgNumType w:fmt="decimal"/>
          <w:formProt w:val="false"/>
          <w:titlePg/>
          <w:textDirection w:val="lrTb"/>
          <w:docGrid w:type="default" w:linePitch="600" w:charSpace="40960"/>
        </w:sectPr>
      </w:pPr>
    </w:p>
    <w:p>
      <w:pPr>
        <w:pStyle w:val="23"/>
        <w:rPr/>
      </w:pPr>
      <w:r>
        <w:rPr/>
        <w:t xml:space="preserve">4.2. </w:t>
      </w:r>
      <w:bookmarkStart w:id="183" w:name="_Toc531704241"/>
      <w:bookmarkStart w:id="184" w:name="_Toc531598964"/>
      <w:r>
        <w:rPr/>
        <w:t>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176"/>
      <w:bookmarkEnd w:id="177"/>
      <w:bookmarkEnd w:id="178"/>
      <w:bookmarkEnd w:id="179"/>
      <w:bookmarkEnd w:id="183"/>
      <w:bookmarkEnd w:id="184"/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 xml:space="preserve">Перечень основных мероприятий по реализации различных сценариев развития системы водоснабжения Камышловского городского округа приведен в таблице </w:t>
      </w:r>
      <w:r>
        <w:rPr>
          <w:rStyle w:val="Style9"/>
          <w:rFonts w:ascii="Liberation Serif" w:hAnsi="Liberation Serif"/>
        </w:rPr>
        <w:fldChar w:fldCharType="begin"/>
      </w:r>
      <w:r>
        <w:rPr>
          <w:rStyle w:val="Style9"/>
          <w:rFonts w:ascii="Liberation Serif" w:hAnsi="Liberation Serif"/>
        </w:rPr>
        <w:instrText> REF _Ref531003548 \h </w:instrText>
      </w:r>
      <w:r>
        <w:rPr>
          <w:rStyle w:val="Style9"/>
          <w:rFonts w:ascii="Liberation Serif" w:hAnsi="Liberation Serif"/>
        </w:rPr>
        <w:fldChar w:fldCharType="separate"/>
      </w:r>
      <w:r>
        <w:rPr>
          <w:rStyle w:val="Style9"/>
          <w:rFonts w:ascii="Liberation Serif" w:hAnsi="Liberation Serif"/>
        </w:rPr>
        <w:t>Таблица 15</w:t>
      </w:r>
      <w:r>
        <w:rPr>
          <w:rStyle w:val="Style9"/>
          <w:rFonts w:ascii="Liberation Serif" w:hAnsi="Liberation Serif"/>
        </w:rPr>
        <w:fldChar w:fldCharType="end"/>
      </w:r>
      <w:r>
        <w:rPr>
          <w:rStyle w:val="Style9"/>
          <w:rFonts w:ascii="Liberation Serif" w:hAnsi="Liberation Serif"/>
        </w:rPr>
        <w:t>.</w:t>
      </w:r>
    </w:p>
    <w:p>
      <w:pPr>
        <w:pStyle w:val="Style67"/>
        <w:rPr/>
      </w:pPr>
      <w:bookmarkStart w:id="185" w:name="_Ref531003548"/>
      <w:r>
        <w:rPr>
          <w:rStyle w:val="Style9"/>
          <w:rFonts w:ascii="Liberation Serif" w:hAnsi="Liberation Serif"/>
        </w:rPr>
        <w:t>Таблица 15</w:t>
      </w:r>
      <w:bookmarkEnd w:id="185"/>
      <w:r>
        <w:rPr>
          <w:rStyle w:val="Style9"/>
          <w:rFonts w:ascii="Liberation Serif" w:hAnsi="Liberation Serif"/>
        </w:rPr>
        <w:t>. Основные мероприятия по реализации схем водоснабжения</w:t>
      </w:r>
    </w:p>
    <w:tbl>
      <w:tblPr>
        <w:tblW w:w="9919" w:type="dxa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8"/>
        <w:gridCol w:w="5504"/>
        <w:gridCol w:w="2272"/>
        <w:gridCol w:w="1375"/>
      </w:tblGrid>
      <w:tr>
        <w:trPr>
          <w:tblHeader w:val="true"/>
          <w:trHeight w:val="20" w:hRule="atLeast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2"/>
                <w:lang w:eastAsia="ru-RU"/>
              </w:rPr>
              <w:t xml:space="preserve">№ </w:t>
            </w:r>
            <w:r>
              <w:rPr>
                <w:rFonts w:ascii="Liberation Serif" w:hAnsi="Liberation Serif"/>
                <w:b/>
                <w:bCs/>
                <w:color w:val="000000"/>
                <w:sz w:val="22"/>
                <w:lang w:eastAsia="ru-RU"/>
              </w:rPr>
              <w:t>п/п</w:t>
            </w:r>
          </w:p>
        </w:tc>
        <w:tc>
          <w:tcPr>
            <w:tcW w:w="55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2"/>
                <w:lang w:eastAsia="ru-RU"/>
              </w:rPr>
              <w:t>Мероприятие</w:t>
            </w:r>
          </w:p>
        </w:tc>
        <w:tc>
          <w:tcPr>
            <w:tcW w:w="22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2"/>
                <w:lang w:eastAsia="ru-RU"/>
              </w:rPr>
              <w:t>Обоснование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2"/>
                <w:lang w:eastAsia="ru-RU"/>
              </w:rPr>
              <w:t>Годы реализации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5504" w:type="dxa"/>
            <w:tcBorders/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A0A0A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A0A0A"/>
                <w:szCs w:val="24"/>
                <w:lang w:eastAsia="ru-RU"/>
              </w:rPr>
              <w:t>Ремонт железобетонных конструкций биологических очистных сооружений с заменой запорной арматуры (восстановление поврежденных участков и гидроизоляция)</w:t>
            </w:r>
          </w:p>
        </w:tc>
        <w:tc>
          <w:tcPr>
            <w:tcW w:w="22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Обеспечение надежности работы системы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2020-2025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55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A0A0A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A0A0A"/>
                <w:szCs w:val="24"/>
                <w:lang w:eastAsia="ru-RU"/>
              </w:rPr>
              <w:t>Реконструкция и модернизация системы аэрации биологических очистных сооружений с заменой компрессорного оборудования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Повышение степени очистки сточных вод, снижение энергозатрат.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2020-2025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55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A0A0A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A0A0A"/>
                <w:szCs w:val="24"/>
                <w:lang w:eastAsia="ru-RU"/>
              </w:rPr>
              <w:t>Реконструкция и модернизация механической очистки сточных вод на биологических очистных сооружений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Повышение степени очистки сточных вод.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2020-2030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55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Внедрение ультрафиолетового обеззараживания очищенной сточной воды.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Повышение степени очистки сточных вод.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2020-2034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55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Внедрение технологии обезвоживания осадка очистных сооружений.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Снижение экологического фактора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2024-2029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55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Установка прибора учета сточных вод  на биологических очистных сооружениях п. Новый  Q = 19 тыс. м.куб./сут.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Обеспечение надежности работы системы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2020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55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Реконструкция и модернизация канализационных насосных станций: "Пролетарская", "Боровая", "Свердлова", "Северная", очистных сооружений (замена запорной арматуры, ремонт наземных сооружений, замена насосного оборудования, автоматизация, диспетчеризация, установка частотно-регулирующего оборудования, установка автономного резервного электропитания и т.д.)  «Пролетарская» (Q = 500 м.куб./сут.);</w:t>
              <w:br/>
              <w:t>«Боровая»  (Q = 100 м.куб./сут.);</w:t>
              <w:br/>
              <w:t>«Северная»  (Q = 100 м.куб./сут.);</w:t>
              <w:br/>
              <w:t xml:space="preserve"> п. Новый (Q = 19 тыс. м.куб./сут.)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Обеспечение надежности работы системы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2021-2023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55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Реконструкция существующих самотечных и напорных коллекторов централизованной системы водоотведения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Обеспечение надежности работы системы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2019-2034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55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Строительство  резервной линии напорного коллектора от КНС «Пролетарская» до бака – гасителя по ул.Советской, длиной 1 км.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Повышение уровня резервируемости системы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2022-2026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55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Установка емкостей на КНС "Пролетарская" для аварийного сброса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Обеспечение надежности работы системы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2020-2025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55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Замена канализационной сети от ул. Бажова, 55а до ул. Северной, 51 протяженностью 250 м Ø 160 мм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Обеспечение надежности работы системы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2020-2025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55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Замена канализационной сети по ул. Механизаторов от д. 3 до д.7 протяженностью 110 м Ø 160 мм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Обеспечение надежности работы системы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2020-2025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55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Замена канализационной сети от перекрестка улиц Стаханова Боровая до КНС "Боровая" протяженностью 1000 м Ø 600 мм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Обеспечение надежности работы системы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2020-2025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55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Строительство канализационных сетей от жилого сектора с выгребными ямами и подключение к централизованной системе канализации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Обеспечение развития городского округа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2022-2025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55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Внедрение единой системы диспетчеризации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Обеспечение надежности работы системы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2024-2034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55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Сети ливневой канализации застройки в северо-восточной части Камышловского городского округа  в соответствии с планом создания инфраструктурных объектов Свердловской области на 2017-2022 годы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Обеспечение развития городского округа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2019-2022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55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Ремонт канализационных колодцев с заменой деревянных крышек чугунными, гидроизоляцией швов и стыков - 600 шт.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Обеспечение надежности работы системы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2020-2022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55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Мероприятия по обеспечению перспективных нагрузок проектируемого района Западной части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Организация перспективного водоснабжения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2024-2034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55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Мероприятия по обеспечению перспективных нагрузок проектируемого района Центральной части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Организация перспективного водоснабжения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2024-2034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55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Мероприятия по обеспечению перспективных нагрузок проектируемого района Восточной части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Организация перспективного водоснабжения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2024-2034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21</w:t>
            </w:r>
          </w:p>
        </w:tc>
        <w:tc>
          <w:tcPr>
            <w:tcW w:w="55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Мероприятия по обеспечению перспективных нагрузок проектируемого района Центральной части (Урицкого)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Организация перспективного водоснабжения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2024-2034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22</w:t>
            </w:r>
          </w:p>
        </w:tc>
        <w:tc>
          <w:tcPr>
            <w:tcW w:w="55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Мероприятия по обеспечению перспективных нагрузок проектируемого района Западной части (Энгельса)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Организация перспективного водоснабжения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2024-2034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55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Мероприятия по обеспечению перспективных нагрузок проектируемого района Северной части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Организация перспективного водоснабжения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2024-2034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55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Мероприятия по обеспечению перспективных нагрузок проектируемого района Южной части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Организация перспективного водоснабжения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2024-2034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25</w:t>
            </w:r>
          </w:p>
        </w:tc>
        <w:tc>
          <w:tcPr>
            <w:tcW w:w="5504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Актуализация схемы водоотведения</w:t>
            </w:r>
          </w:p>
        </w:tc>
        <w:tc>
          <w:tcPr>
            <w:tcW w:w="2272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Обеспечение развития городского округа</w:t>
            </w:r>
          </w:p>
        </w:tc>
        <w:tc>
          <w:tcPr>
            <w:tcW w:w="137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2019-2034</w:t>
            </w:r>
          </w:p>
        </w:tc>
      </w:tr>
      <w:tr>
        <w:trPr>
          <w:trHeight w:val="20" w:hRule="atLeast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26</w:t>
            </w:r>
          </w:p>
        </w:tc>
        <w:tc>
          <w:tcPr>
            <w:tcW w:w="55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ind w:hanging="0"/>
              <w:jc w:val="left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Строительство сливной станции вывоза ЖБО</w:t>
            </w:r>
          </w:p>
        </w:tc>
        <w:tc>
          <w:tcPr>
            <w:tcW w:w="22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Обеспечение надежности работы системы</w:t>
            </w:r>
          </w:p>
        </w:tc>
        <w:tc>
          <w:tcPr>
            <w:tcW w:w="13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ind w:hanging="0"/>
              <w:jc w:val="center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2019-2020</w:t>
            </w:r>
          </w:p>
        </w:tc>
      </w:tr>
    </w:tbl>
    <w:p>
      <w:pPr>
        <w:pStyle w:val="23"/>
        <w:rPr/>
      </w:pPr>
      <w:r>
        <w:rPr/>
      </w:r>
    </w:p>
    <w:p>
      <w:pPr>
        <w:pStyle w:val="23"/>
        <w:rPr/>
      </w:pPr>
      <w:r>
        <w:rPr/>
        <w:t xml:space="preserve">4.3. </w:t>
      </w:r>
      <w:bookmarkStart w:id="186" w:name="_Toc531704242"/>
      <w:bookmarkStart w:id="187" w:name="_Toc531598965"/>
      <w:r>
        <w:rPr/>
        <w:t>Технические обоснования основных мероприятий по реализации схем водоотведения</w:t>
      </w:r>
      <w:bookmarkEnd w:id="186"/>
      <w:bookmarkEnd w:id="187"/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Выполнение основных мероприятий обосновано следующими факторами:</w:t>
      </w:r>
    </w:p>
    <w:p>
      <w:pPr>
        <w:pStyle w:val="Style65"/>
        <w:numPr>
          <w:ilvl w:val="0"/>
          <w:numId w:val="4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>Для мероприятий по перекладке (реновации) ветхих сетей, замене изношенного механического и электротехнического оборудования техническим обоснованием является необходимость обеспечения надежности и бесперебойности водоотведения;</w:t>
      </w:r>
    </w:p>
    <w:p>
      <w:pPr>
        <w:pStyle w:val="Style65"/>
        <w:numPr>
          <w:ilvl w:val="0"/>
          <w:numId w:val="4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>Для мероприятий по прокладке новых трубопроводов, по реконструкции действующих трубопроводов, реконструкции и строительству КОС техническим обоснованием является создание технической возможности подключения дополнительных нагрузок от объектов перспективного развития городского округа;</w:t>
      </w:r>
    </w:p>
    <w:p>
      <w:pPr>
        <w:pStyle w:val="Style65"/>
        <w:numPr>
          <w:ilvl w:val="0"/>
          <w:numId w:val="4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>Для мероприятий, приводящих к экономии энергетических ресурсов, эксплуатационных расходов, реагентов, топлива, техническим обоснованием является обеспечение доступности услуг водоотведения (снижение нагрузки на тариф);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Строительство сетей водоотведения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 соответствии с требованиями СП 32.13330.2012 во вновь строящихся объектах необходимо предусматривать централизованное водоотведение.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Анализ неканализуемого сектора Камышловского городского округа позволил определить протяженность новых канализационных сетей, необходимых для обеспечения оставшейся части городского округа услугой централизованного водоотведения, как 10,2 км к расчетному сроку.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Без прокладки новых сетей водоотведения развитие и увеличение охвата централизованной системы водоотведения, а, следовательно, и развитие городского округа, невозможны.</w:t>
      </w:r>
    </w:p>
    <w:p>
      <w:pPr>
        <w:pStyle w:val="Style64"/>
        <w:rPr/>
      </w:pPr>
      <w:r>
        <w:rPr>
          <w:rStyle w:val="Style9"/>
          <w:rFonts w:ascii="Liberation Serif" w:hAnsi="Liberation Serif"/>
        </w:rPr>
        <w:t>Строительство сетей водоотведения позволит увеличить охват потребителей услугой централизованного водоотведения. В соответствии с Генеральным планом развития городского округа планируется подключить к системе централизованного водоотведения все районы города Камышлов, а именно Северо-Восточную часть города (р-н ул. Карловарская,), Центральную часть города (р-н ул. Тобольская, р-н ул. Свердлова), Восточную часть города (р-н ул. Северная), Южную часть города (р-н ул. Шадринская), Северную часть города (р-н улицы Полевая, Степная), Западную часть города (р-н ул. Кооперативная). Сточные воды, в данных районах города, по самотечным коллекторам будут подаваться на проектируемые канализационные насосные станции и далее по существующим самотечным коллекторам на очистные сооружения.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Реконструкция сетей водоотведения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Планируемые мероприятия по реконструкции действующих сетей системы отвода стоков направлены на снижение износа сетей, затрат на их ремонт, уменьшение утечек сточных вод при транспортировке до КОС и авариях, повышение надежности системы централизованного водоотведения, на увеличение пропускной способности, ограниченность которой, обусловленная многолетними коррозионными отложениями.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 случае невыполнения работ по реконструкции сетей, городской округ в любой момент может остаться без гарантированного водоотведения, что создаст реальную угрозу жизнеобеспечения поселения.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Схемой водоотведения планируется ежегодная замена 1% всех фондов канализационных сетей Камышловского городского округа суммарной протяженностью 0,64 км.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Реконструкция очистных сооружений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 xml:space="preserve">Ключевое мероприятие в улучшении качества предоставляемой услуги. Реконструкция очистных сооружений позволит увеличить охват потребителей услугой централизованного водоотведения, повысить качество очистки хозяйственно-бытовых сточных вод, обеспечить услугой новых подключаемых к системам ресурсоснабжения потребителей, а также уменьшить количество штрафов за нарушение экологического законодательства. Реконструкция очистных сооружений </w:t>
      </w:r>
      <w:r>
        <w:rPr>
          <w:rStyle w:val="Style9"/>
          <w:rFonts w:ascii="Liberation Serif" w:hAnsi="Liberation Serif"/>
          <w:spacing w:val="1"/>
        </w:rPr>
        <w:t xml:space="preserve">приведет к повышению надежности работы систем коммунальной инфраструктуры населения, </w:t>
      </w:r>
      <w:r>
        <w:rPr>
          <w:rStyle w:val="Style9"/>
          <w:rFonts w:ascii="Liberation Serif" w:hAnsi="Liberation Serif"/>
        </w:rPr>
        <w:t>снижению потерь коммунальных ресурсов в производственном процессе, повышению качества коммунальных услуг, повышению эффективности финансово-хозяйственной деятельности предприятий коммунального комплекса.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  <w:u w:val="single"/>
        </w:rPr>
        <w:t>Реконструкция канализационных насосных станций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 рамках повышения энергетической эффективности работы насосных станций необходима установка преобразователей частот вкупе с заменых насосных агрегатов. В результате их работы существенно повышается КПД насосных агрегатов, уменьшаются непроизводительные потери вследствие избыточного давления в сети.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Установка современного оборудования для единой диспетчеризации и автоматизации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Система диспетчеризации обеспечит сбор информации о работе очистных сооружений и насосных станций, возможность использования охранной сигнализации и дистанционного телеуправления включения-выключения насосов, станционного сброса ошибок, автоматического контроля отопительным оборудованием очистных сооружений и канализационных насосных станций.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Строительство очистных сооружений ливневой канализации и ливневой сети канализации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На застроенных территориях в результате выпадения атмосферных осадков и эксплуатации дорожных покрытий образуется поверхностный сток трех видов: дождевой, талый и поливомоечный, который должен отводиться дождевой канализацией.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>Строительство системы ливневой канализации необходимо для снижения экологического воздействия на окружающую среду на территории Камышловского городского округа.</w:t>
      </w:r>
      <w:r>
        <w:br w:type="page"/>
      </w:r>
    </w:p>
    <w:p>
      <w:pPr>
        <w:pStyle w:val="23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4.4. </w:t>
      </w:r>
      <w:bookmarkStart w:id="188" w:name="_Toc531704243"/>
      <w:bookmarkStart w:id="189" w:name="_Toc531598966"/>
      <w:r>
        <w:rPr>
          <w:rFonts w:ascii="Liberation Serif" w:hAnsi="Liberation Serif"/>
        </w:rPr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88"/>
      <w:bookmarkEnd w:id="189"/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 xml:space="preserve">Реконструкция очистных сооружений Камышловского городского округа </w:t>
      </w:r>
      <w:r>
        <w:rPr>
          <w:rStyle w:val="Style9"/>
          <w:rFonts w:ascii="Liberation Serif" w:hAnsi="Liberation Serif"/>
          <w:spacing w:val="1"/>
        </w:rPr>
        <w:t xml:space="preserve">приведет к повышению надежности работы систем коммунальной инфраструктуры населения, </w:t>
      </w:r>
      <w:r>
        <w:rPr>
          <w:rStyle w:val="Style9"/>
          <w:rFonts w:ascii="Liberation Serif" w:hAnsi="Liberation Serif"/>
        </w:rPr>
        <w:t>снижению потерь коммунальных ресурсов в производственном процессе, повышению качества коммунальных услуг, повышению эффективности финансово-хозяйственной деятельности предприятий коммунального комплекса.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Рекомендуется модернизация очистных сооружений в соответствии со следующей технологической схемой: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Механическая очистка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Сточная вода по трубопроводам поступает в процеживатели (механические решетки, выполненные в виде вращающихся барабанов). На процеживателях из сточной воды задерживаются мусор и крупные включения, которые снимаются с вращающихся барабанов с помощью специальных ножей и сбрасываются в шнековые транспортеры. Из процеживателей сточная вода по самотечному трубопроводу поступает в тангенциальные песколовки, где происходит осаждение песка из сточной воды, который по мере накопления гидроэлеваторами перекачивается в песковый бункер (2-х секционную стальную емкость с коническими днищами). Подача рабочей воды для гидроэлеваторов, осуществляется с помощью насоса установленного в цехе доочистки сточных вод. Удаление песка предусмотреть в автоматическом режиме последовательно из каждой песколовки, для этого на подводящих трубопроводах рабочей воды и отводящих трубопроводах песчаной пульпы установить запорную арматуру с электроприводами. После обезвоживания песок выгружается из пескового бункера в автотранспорт и вывозится на песковую площадку.</w:t>
      </w:r>
    </w:p>
    <w:p>
      <w:pPr>
        <w:pStyle w:val="Style64"/>
        <w:numPr>
          <w:ilvl w:val="0"/>
          <w:numId w:val="6"/>
        </w:numPr>
        <w:tabs>
          <w:tab w:val="clear" w:pos="709"/>
          <w:tab w:val="left" w:pos="-6347" w:leader="none"/>
        </w:tabs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Усреднение сточной воды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После тангенциальных песколовок сточная вода в самотечном режиме поступает в регулирующие резервуары (стальные цилиндрические емкости с усиленным антикоррозийным покрытием в котором установлены системы перфорированных трубопроводов для взмучивания осадка) на усреднение.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Подача воздуха для взмучивания осадка осуществляется из насосно- компрессорной станции.</w:t>
      </w:r>
    </w:p>
    <w:p>
      <w:pPr>
        <w:pStyle w:val="Style64"/>
        <w:numPr>
          <w:ilvl w:val="0"/>
          <w:numId w:val="6"/>
        </w:numPr>
        <w:tabs>
          <w:tab w:val="clear" w:pos="709"/>
          <w:tab w:val="left" w:pos="-6347" w:leader="none"/>
        </w:tabs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Биологическая очистка.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Из регулирующих резервуаров, сточная вода забирается насосами, установленными в цехе механической очистки и перекачивается в резервуары биологической очистки.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 денитрификаторе в аноксидной (безкислородной) среде происходит процесс денитрификации (восстановление нитритов и нитратов до газообразного, выделяющегося в атмосферу). Денитрификация осуществляется иммобилизованной (фиксированной) на загрузке микрофлорой, в качестве органического субстрата (источника питания) для процесса денитрификации используются исходные сточные воды. Для проведения процесса денитрификации из конца аэротенка в начало денитрификатора предусмотрена подача нитратосодержащего потока. Рециркуляция нитратосодержащего потока осуществляется с помощью эрлифтов или насосов. Для предупреждения выпадения активного ила на дно денитрификатора и как следствие его уплотнение и загнивание, в денитрификаторе установлена погружная мешалка. В процессе работы погружной мешалки происходит перемешивание и образование потока (придонная скорость течения воды не менее 0.3 м/с), который поддерживает во взвешенном состоянии активный ил, не позволяя ему осаждаться на дно. Из денитрификатора сточная вода, перетоком поступает в аэротенк. В аэротенке происходит сорбция взвешенных веществ, удаления основной части органических загрязнений и нитрификация аммонийного азота, которые осуществляются за счет жизнедеятельности активного ила при подаче кислорода воздуха. Аэрация сточной воды осуществляется путем подачи воздуха от воздуходувок, установленных в насосно- компрессорной станции, через пневматическую систему аэрации, установленную на дне аэротенка. Из аэротенка сточная вода через переливные лотки самотеком поступает в илоотделитель. Для основного разделения сточной воды и активного ила, после аэротенка размещается илоотделитель с тонкослойными блоками. Активный ил осаждается в конусной части илоотделителя и с помощью системы эрлифтов подается в начало аэротенка или поступает как избыточный в резервуар накопитель осадка.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Удаление избыточного ила из илоотделителя помимо системы эрлифтов возможно также с помощью насосов. Сбор и отвод всплывших загрязнений из илоотделителя в резервуар накопитель осадка осуществляется с помощью системы илосборников (поворотные стальные щелевые трубы с электроприводами). После илоотделителя сточная вода через переливные лотки самотеком поступает в биоректор.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Для снижения нагрузки на вторичный отстойник (защита от выноса ила, при увеличении дозы ила и повышения окислительной способности в аэротенке), а также в качестве доочистки сточной воды по взвешенным веществам и БПК, после илоотделителя размещается биореактор с закрепленной на загрузке микрофлорой. Из биореактора сточная вода поступает во вторичный отстойник оборудованный тонкослойными модулями, где происходит окончательное разделение сточной воды и активного ила. Осадок скапливается в конусной части отстойника и с помощью эрлифтов перекачивается в начало аэротенка или поступает как избыточный в резервуар накопитель осадка.</w:t>
      </w:r>
    </w:p>
    <w:p>
      <w:pPr>
        <w:pStyle w:val="Style64"/>
        <w:numPr>
          <w:ilvl w:val="0"/>
          <w:numId w:val="6"/>
        </w:numPr>
        <w:tabs>
          <w:tab w:val="clear" w:pos="709"/>
          <w:tab w:val="left" w:pos="-6347" w:leader="none"/>
        </w:tabs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Реагентная дефосфатация сточной воды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Для удаления из сточной воды фосфорсодержащих загрязнений применить реагентную обработку (минеральный коагулянт). Рабочий раствор приготавливается в реагентном узле. Растворение коагулянта предусмотрено в растворных баках с механическими мешалками, рабочий раствор приготавливается в расходных баках с механическими мешалками. Дозирование рабочего раствора осуществляется насосами- дозаторами. Ввод рабочего раствора осуществляется в начало биореактора.</w:t>
      </w:r>
    </w:p>
    <w:p>
      <w:pPr>
        <w:pStyle w:val="Style64"/>
        <w:numPr>
          <w:ilvl w:val="0"/>
          <w:numId w:val="6"/>
        </w:numPr>
        <w:tabs>
          <w:tab w:val="clear" w:pos="709"/>
          <w:tab w:val="left" w:pos="-6347" w:leader="none"/>
        </w:tabs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Доочистка биологически очищенных сточных вод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Биологически очищенная сточная вода из сборных лотков вторичного отстойника поступает по самотечным трубопроводам в цех доочистки и обеззараживания сточных вод. Для доочистки биологически очищенных сточных вод применяются микрофильтры (вращающиеся фильтровальные диски, закрепленные на горизонтальном полом валу и на 60% погруженных в воду). Тонкость фильтрации сетки в дисковых сетчатых микрофильтрах обеспечивает необходимую степень очистки сточных вод по взвешенным веществам и БПК до требуемых норм сброса в водоем. Каждый диск состоит из взаимозаменяемых сегментов сита из нержавеющей стали. С обеих сторон на сегментах диска натянута тонкая сетка из нержавеющей стали. При включении режима промывки микрофильтров запорные клапана открываются, и происходит подача воды насосом из резервуара промывных вод. Резервуар промывных вод представляет собой стальную прямоугольную 2-х секционную емкость с усиленной антикоррозийной изоляцией. Для предотвращения биологического обрастания фильтрующей сетки предусматривается промывка микрофильтров хлорной водой. Приготовление хлорной воды осуществляется в реагентном узле. Растворение хлорной извести предусмотрено в растворных баках с механическими мешалками, рабочий раствор приготавливается в расходных баках с механическими мешалками. Дозирование хлорной воды осуществляется насосами- дозаторами. Ввод хлорной воды в подводящие трубопроводы сточной воды на микрофильтры происходит с помощью встроенных лучевых водораспределителей. После микрофильтров сточная вода поступает на установки обеззараживания.</w:t>
      </w:r>
    </w:p>
    <w:p>
      <w:pPr>
        <w:pStyle w:val="Style64"/>
        <w:numPr>
          <w:ilvl w:val="0"/>
          <w:numId w:val="6"/>
        </w:numPr>
        <w:tabs>
          <w:tab w:val="clear" w:pos="709"/>
          <w:tab w:val="left" w:pos="-6347" w:leader="none"/>
        </w:tabs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Обеззараживание доочищенной сточной воды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>Обеззараживание очищенных сточных вод предусмотрено ультрафиолетовым излучением на установках УДВ. Обеззараживающее действие УФ излучения основано на необратимых повреждениях молекул ДНК и РНК микроорганизмов, находящихся в сточной воде, за счет фотохимического воздействия лучистой энергии. Фотохимическое воздействие предполагает разрыв или изменение химических связей органической молекулы в результате поглощения энергии фотона. Доза УФ- излучения 30мДж/см</w:t>
      </w:r>
      <w:r>
        <w:rPr>
          <w:rStyle w:val="Style9"/>
          <w:rFonts w:ascii="Liberation Serif" w:hAnsi="Liberation Serif"/>
          <w:position w:val="24"/>
          <w:sz w:val="16"/>
        </w:rPr>
        <w:t>2</w:t>
      </w:r>
      <w:r>
        <w:rPr>
          <w:rStyle w:val="Style9"/>
          <w:rFonts w:ascii="Liberation Serif" w:hAnsi="Liberation Serif"/>
        </w:rPr>
        <w:t>. Очищенная и обеззараженная сточная вода поступает в самотечном режиме к месту сброса.</w:t>
      </w:r>
    </w:p>
    <w:p>
      <w:pPr>
        <w:pStyle w:val="Style64"/>
        <w:numPr>
          <w:ilvl w:val="0"/>
          <w:numId w:val="6"/>
        </w:numPr>
        <w:tabs>
          <w:tab w:val="clear" w:pos="709"/>
          <w:tab w:val="left" w:pos="-6347" w:leader="none"/>
        </w:tabs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Реагентная обработка и уплотнение осадка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Из резервуара накопителя осадка избыточный активный ил с помощью насоса перекачивается в осадкоуплотнители (стальные цилиндрические емкости с усиленным антикоррозийным покрытием, в которых установлены системы перфорированных трубопроводов для перемешивания осадка, а также системы трубопроводов отвода отстоянной воды и забора осадка). После уплотнение избыточного ила отстоянная надиловая вода отводится в приямок с погружными насосами и далее перекачивается на процеживатели. Для увеличения водоотдачи избыточного ила, в осадкоуплотнители добавляется реагент. Перемешивание избыточного ила с реагентом осуществляется с помощью воздуха, подаваемого из насосно-компрессорной станции.</w:t>
      </w:r>
    </w:p>
    <w:p>
      <w:pPr>
        <w:pStyle w:val="Style64"/>
        <w:numPr>
          <w:ilvl w:val="0"/>
          <w:numId w:val="6"/>
        </w:numPr>
        <w:tabs>
          <w:tab w:val="clear" w:pos="709"/>
          <w:tab w:val="left" w:pos="-6347" w:leader="none"/>
        </w:tabs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Аэробная стабилизация осадка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Уплотненный избыточный ил перекачивается насосом в аэробный стабилизатор (прямоугольная 2-х секционная стальная емкость с усиленным антикоррозийным покрытием). В первой секции стабилизатора установлены системы перфорированных трубопроводов для аэрации уплотненного избыточного ила. Отстоянная надиловая вода отводится в приямок с погружными насосами. Аэробно-стабилизированная иловая смесь с помощью насоса перекачивается в регулирующие баки.</w:t>
      </w:r>
    </w:p>
    <w:p>
      <w:pPr>
        <w:pStyle w:val="Style64"/>
        <w:numPr>
          <w:ilvl w:val="0"/>
          <w:numId w:val="6"/>
        </w:numPr>
        <w:tabs>
          <w:tab w:val="clear" w:pos="709"/>
          <w:tab w:val="left" w:pos="-6347" w:leader="none"/>
        </w:tabs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Механическое обезвоживание осадка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Из регулирующих баков иловая смесь в самотечном режиме поступает на ленточные фильтр-прессы (барабанный сгуститель). Вначале иловая смесь поступает на барабанный сгуститель, где происходит предварительное отделение воды от шлама (уплотнение осадка). Процесс отделения воды продолжается на ленточном фильтр- прессе. Фильтрат отводится в приямок с погружными насосами. Обезвоженный осадок поступает на ленточный транспортер и перемещается в бункер обезвоженного осадка (прямоугольна стальная емкость с коническим днищем, оборудованным затвором с электроприводом и отводящей сбросной трубой).</w:t>
      </w:r>
    </w:p>
    <w:p>
      <w:pPr>
        <w:pStyle w:val="Style64"/>
        <w:numPr>
          <w:ilvl w:val="0"/>
          <w:numId w:val="6"/>
        </w:numPr>
        <w:tabs>
          <w:tab w:val="clear" w:pos="709"/>
          <w:tab w:val="left" w:pos="-6347" w:leader="none"/>
        </w:tabs>
        <w:rPr>
          <w:rFonts w:ascii="Liberation Serif" w:hAnsi="Liberation Serif"/>
          <w:u w:val="single"/>
        </w:rPr>
      </w:pPr>
      <w:r>
        <w:rPr>
          <w:rFonts w:ascii="Liberation Serif" w:hAnsi="Liberation Serif"/>
          <w:u w:val="single"/>
        </w:rPr>
        <w:t>Обеззараживание и утилизация осадка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Из бункера обезвоженного осадка иловая смесь поступает на обеззараживание. Обеззараживание механически обезвоженной иловой смеси осуществляем в дегельминтизаторах (единая конструкция из приемного бункера и пластинчатого стального конвейера, внутренней камеры, в которой размещаются электрические инфракрасные излучатели, а также внешней вытяжной камеры). Обезвоженная иловая смесь поступает в приемный бункер, в нижней части которого располагаются ролики, формирующие тонкий слой осадка. При движении по металлическому транспортеру осадок прогревается инфракрасными излучателями, вследствие чего происходит его обеззараживание. Обеззараженный осадок с металлического транспортера дегельминтизатора поступает в пресс винтовой. Пресс винтовой представляет собой стальной лоток со шнеком и отводящей трубой. Осадок отжимается и перемещается шнеком, и через отводящую трубу выгружается в автотранспорт, затем вывозится на площадку депонирования.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 цехе механической очистки разместить следующее оборудование: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расходомеры;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процеживатели;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шнековые транспортеры;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бункеры отбросов;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тангенциальные песколовки;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бункер песковый;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погружные насосы;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насосы подачи сточной воды на биологическую очистку.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 каждом резервуаре биологической очистки предусмотреть размещение технологического оборудования: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денитрификатор;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аэротенк;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илоотделитель;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биореактор;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вторичный отстойник;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мешалки.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Резервуары биологической очистки соединить с цехом механического обезвоживания осадка и с цехом доочистки сточной воды с помощью переходных галерей.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 цехе доочистки и обеззараживания сточных вод предусмотреть размещение технологического оборудования: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микрофильтры;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обеззараживающих установок;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расходомер;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погружные насосы;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резервуар промывной воды;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насосы подачи промывной воды;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погружные насосы;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реагентный узел для приготовления флокулянта;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реагентный узел для приготовления хлорной воды.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В цехе механического обезвоживания осадка разместить оборудование: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реагентный узел для обработки осадка;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реагентный узел для дефосфотирования сточной воды;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резервуар накопитель осадка;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рециркуляционный насос;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иловые насосы;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аэробный стабилизатор осадка;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баки регулирующие;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фильтры-прессы ленточные;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погружные насосы;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транспортер ленточный;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бункер обезвоженного осадка;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дегельминтизаторы;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пресс винтовой.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>В районах планировочной застройки предусмотрено развитие коммунальной инфраструктуры, в частности строительство сетей водоотведения. Для сбора и перекачки стоков планируется использовать канализационные насосные станции (КНС). Канализационную станцию размещают в конце главного самотечного коллектора, т.е. в наиболее пониженной зоне канализируемой территории, куда целесообразно подавать сточную воду самотеком. От КНС стоки по напорным коллекторам подаются на очистные сооружения.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>Для устройства наружных сетей канализации рекомендуется использовать трубы из полиэтилена. Полимеры, из которых изготавливают полиэтиленовые трубы для устройства систем водоснабжения и канализации, отличаются высокими техническими характеристиками, среди которых: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долговечность;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отсутствие коррозийных процессов;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легкий вес;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простой монтаж;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низкая стоимость;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/>
      </w:pPr>
      <w:r>
        <w:rPr>
          <w:rStyle w:val="Style9"/>
          <w:rFonts w:ascii="Liberation Serif" w:hAnsi="Liberation Serif"/>
        </w:rPr>
        <w:t>устойчивость к агрессивной среде, что свойственно канализационным стокам;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простота монтажа систем канализации;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На территории городского округа необходимо модернизировать насосное оборудование следующих канализационных насосных станций: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/>
      </w:pPr>
      <w:r>
        <w:rPr>
          <w:rStyle w:val="Style9"/>
          <w:rFonts w:ascii="Liberation Serif" w:hAnsi="Liberation Serif"/>
        </w:rPr>
        <w:t>КНС  «Пролетарская»  по  ул.  Пролетарской;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КНС «Северная»  район садов;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КНС  «Свердлова» ул. Свердлова.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При реконструкции КНС необходимо выполнить работы по техническому и технологическому обслуживанию: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Замена насоса на энергоэффективные с частотным регулированием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Ремонт, замена и автоматизация приемного отделения КНС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Ремонт здания;</w:t>
      </w:r>
    </w:p>
    <w:p>
      <w:pPr>
        <w:pStyle w:val="23"/>
        <w:rPr/>
      </w:pPr>
      <w:r>
        <w:rPr/>
        <w:t xml:space="preserve">4.5. </w:t>
      </w:r>
      <w:bookmarkStart w:id="190" w:name="_Toc531704244"/>
      <w:bookmarkStart w:id="191" w:name="_Toc531598967"/>
      <w:bookmarkStart w:id="192" w:name="_Toc401068003"/>
      <w:bookmarkStart w:id="193" w:name="_Toc390696267"/>
      <w:bookmarkStart w:id="194" w:name="_Toc390696055"/>
      <w:bookmarkStart w:id="195" w:name="_Toc379359297"/>
      <w:r>
        <w:rPr/>
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190"/>
      <w:bookmarkEnd w:id="191"/>
      <w:bookmarkEnd w:id="192"/>
      <w:bookmarkEnd w:id="193"/>
      <w:bookmarkEnd w:id="194"/>
      <w:bookmarkEnd w:id="195"/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Системы диспетчеризации, телемеханизации в существующей системе водоотведения Камышловского городского округа отсутствуют. Автоматизированные системы управления режимами водоотведения на объектах отсутствуют.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При модернизации очистных сооружений необходимо использовать автоматизированные системы управления и диспетчеризации, которые позволят повысить энергоэффективность транспортировки сточных вод, снизить время в перебоях водоотведения и сократить численность обслуживающего персонала.  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На магистральных участках сетей водоотведения необходимо использовать шиберные задвижки, позволяющие частично или полностью перекрывать движение среды.  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План по автоматизации и диспетчеризации будет выглядеть следующим образом: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Очистные сооружения в ходе модернизации разделяются по разным техническим процессам, проводится их локальная автоматизация и оснащение приборами контроля, затем, объединяется в общую систему диспетчеризации с главным диспетчерским пунктом и вспомогательным у технолога очистных сооружений.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Этапы локальной автоматизации: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Приемная камера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В приемной камере планируется установить двухканальные ультразвуковые расходомеры РСУ-003, УВР-011. Так же планируется установить датчик контроля аварийного уровня приемной камеры, для проведения действий по предотвращению переливов.  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Решетки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Планируется ввести датчик контроля уровня и организовать управление включением решеток в зависимости от повышения уровня стоков (при планируемом засорении выключенных решеток) с использованием устройств плавного пуска. Это позволит значительно снизить износ механизмов решеток, сократить эксплуатационные расходы, в том числе и на электроэнергию, повысить их эффективность за счет задержки более мелких механических фракций.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Песколовка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Для повышения надежности срабатывания концевых выключателей, планируется заменить их на индуктивные датчики и затем организовать дистанционное управление.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Первичные и вторичные отстойники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Планируется внедрить программно-технический комплекс Квалитет ЭКО РК-8 для непрерывного контроля уровня и влажности осадка/ила в первичных и вторичных отстойниках на основе электрофизического контроля жидкостей, что позволит контролировать уровень, послойное распределение осадка, отслеживать опорожнение и наполнение отстойников, сигнализировать о резком изменении химического состава сточных вод.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Аэротенки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Планируется внедрить систему автоматического регулирования производительности воздуходувок на входе в зависимости от содержания растворенного кислорода в аэротенках, что позволит оптимизировать их работу, снизить энергопотребление и даст большой экономический эффект за счет энергосбережения.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Для обеспечения надежной работы системы регулирования планируется использовать надежные датчики растворенного кислорода на основе нового метода LDO (люминесцентное измерение растворенного кислорода), по одному на каждый аэротенк.  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Для контроля расхода воздуха и управления перераспределением между аэротенками планируется приобрести термально-массовый расходомер. Установка в погружном исполнении – без остановок воздуходувок.</w:t>
      </w:r>
    </w:p>
    <w:p>
      <w:pPr>
        <w:pStyle w:val="23"/>
        <w:rPr/>
      </w:pPr>
      <w:r>
        <w:rPr/>
        <w:t xml:space="preserve">4.6. </w:t>
      </w:r>
      <w:bookmarkStart w:id="196" w:name="_Toc531704245"/>
      <w:bookmarkStart w:id="197" w:name="_Toc531598968"/>
      <w:bookmarkStart w:id="198" w:name="_Toc401068004"/>
      <w:bookmarkStart w:id="199" w:name="_Toc390696268"/>
      <w:bookmarkStart w:id="200" w:name="_Toc390696056"/>
      <w:bookmarkStart w:id="201" w:name="_Toc379359298"/>
      <w:r>
        <w:rPr/>
        <w:t>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196"/>
      <w:bookmarkEnd w:id="197"/>
      <w:bookmarkEnd w:id="198"/>
      <w:bookmarkEnd w:id="199"/>
      <w:bookmarkEnd w:id="200"/>
      <w:bookmarkEnd w:id="201"/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>Бытовые сточные воды от жилых районов и промышленных предприятий собираются самотечными коллекторами и, далее, с помощью районных насосных станций перекачки, направляются по существующим коллекторам глубокого заложения на канализационные очистные сооружения. Варианты маршрутов прохождения трубопроводов по территории Камышловского городского округа представлены в Приложении 3 «Перспективная схема водоотведения» и в электронной модели (Приложение 4 «Электронная модель»).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ascii="Liberation Serif" w:hAnsi="Liberation Serif"/>
        </w:rPr>
        <w:t>При строительстве сетей водоотведения необходимо учитывать: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участки канализационной сети будут проходить в границах красных линий;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обязательным требованием является прокладка сети подземно;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количество пересечений с дорогами должно быть сведено к минимуму;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прокладка участков канализационной сети в зоне зеленых насаждений (планируемых или существующих) возможно только при их засеивании травянистыми растениями (в целях сохранения целостности трубопроводов);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при прокладке сети должны быть соблюдены нормативные расстояния до других объектов инженерной инфраструктуры и фундаментов зданий.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/>
      </w:pPr>
      <w:r>
        <w:rPr>
          <w:rStyle w:val="Style9"/>
          <w:rFonts w:eastAsia="Calibri" w:ascii="Liberation Serif" w:hAnsi="Liberation Serif"/>
        </w:rPr>
        <w:t>варианты маршрутов прохождения трубопроводов (трасс) выбраны из условий обеспечения кратчайшего расстояния до потребителей с учетом искусственных и естественных преград. Трассы подлежат уточнению и корректировке на стадии проектирования объектов схемы.</w:t>
      </w:r>
    </w:p>
    <w:p>
      <w:pPr>
        <w:pStyle w:val="23"/>
        <w:rPr/>
      </w:pPr>
      <w:r>
        <w:rPr/>
        <w:t xml:space="preserve">4.7. </w:t>
      </w:r>
      <w:bookmarkStart w:id="202" w:name="_Toc531704246"/>
      <w:bookmarkStart w:id="203" w:name="_Toc531598969"/>
      <w:bookmarkStart w:id="204" w:name="_Toc401068005"/>
      <w:bookmarkStart w:id="205" w:name="_Toc390696269"/>
      <w:bookmarkStart w:id="206" w:name="_Toc390696057"/>
      <w:bookmarkStart w:id="207" w:name="_Toc379359299"/>
      <w:r>
        <w:rPr/>
        <w:t>Границы и характеристики охранных зон сетей и сооружений централизованной системы водоотведения</w:t>
      </w:r>
      <w:bookmarkEnd w:id="202"/>
      <w:bookmarkEnd w:id="203"/>
      <w:bookmarkEnd w:id="204"/>
      <w:bookmarkEnd w:id="205"/>
      <w:bookmarkEnd w:id="206"/>
      <w:bookmarkEnd w:id="207"/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Проектирование и строительство централизованной системы бытовой канализации для населенных пунктов является основным мероприятием по улучшению санитарного состояния указанных территорий и охране окружающей природной среды.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Необходимо соблюдать охранные зоны магистральных инженерных сетей, канализационных насосных станций и сооружений очистки. Для сетевых сооружений канализации на уличных проездах и др. открытых территориях, а также находящихся на территориях абонентов устанавливается следующая охранная зона: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для сетей диаметром менее 500мм - 10-метровая зона, по 5м в обе стороны от наружной стенки трубопроводов или от выступающих частей здания, сооружения;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Нормативная санитарно-защитная зона:  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для проектируемых канализационных насосных станций – 15÷20 м;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для очистных сооружений 150 м.</w:t>
      </w:r>
    </w:p>
    <w:p>
      <w:pPr>
        <w:pStyle w:val="Style67"/>
        <w:rPr/>
      </w:pPr>
      <w:r>
        <w:rPr>
          <w:rStyle w:val="Style9"/>
          <w:rFonts w:ascii="Liberation Serif" w:hAnsi="Liberation Serif"/>
        </w:rPr>
        <w:t>Таблица 16. Санитарно- защитные зоны для канализационных очистных сооружений</w:t>
      </w:r>
    </w:p>
    <w:tbl>
      <w:tblPr>
        <w:tblW w:w="10280" w:type="dxa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63"/>
        <w:gridCol w:w="1319"/>
        <w:gridCol w:w="1324"/>
        <w:gridCol w:w="1321"/>
        <w:gridCol w:w="1453"/>
      </w:tblGrid>
      <w:tr>
        <w:trPr>
          <w:trHeight w:val="431" w:hRule="atLeast"/>
          <w:cantSplit w:val="true"/>
        </w:trPr>
        <w:tc>
          <w:tcPr>
            <w:tcW w:w="4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Сооружения для очистки сточных вод</w:t>
            </w:r>
          </w:p>
        </w:tc>
        <w:tc>
          <w:tcPr>
            <w:tcW w:w="5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/>
            </w:pPr>
            <w:r>
              <w:rPr>
                <w:rStyle w:val="Style9"/>
                <w:rFonts w:ascii="Liberation Serif" w:hAnsi="Liberation Serif"/>
              </w:rPr>
              <w:t>Расстояние в м, при расчетной производительности очистных сооружений в тыс. м</w:t>
            </w:r>
            <w:r>
              <w:rPr>
                <w:rStyle w:val="Style9"/>
                <w:rFonts w:ascii="Liberation Serif" w:hAnsi="Liberation Serif"/>
                <w:position w:val="22"/>
                <w:sz w:val="14"/>
              </w:rPr>
              <w:t>3</w:t>
            </w:r>
            <w:r>
              <w:rPr>
                <w:rStyle w:val="Style9"/>
                <w:rFonts w:ascii="Liberation Serif" w:hAnsi="Liberation Serif"/>
              </w:rPr>
              <w:t>/сутки</w:t>
            </w:r>
          </w:p>
        </w:tc>
      </w:tr>
      <w:tr>
        <w:trPr>
          <w:trHeight w:val="661" w:hRule="atLeast"/>
          <w:cantSplit w:val="true"/>
        </w:trPr>
        <w:tc>
          <w:tcPr>
            <w:tcW w:w="486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До 0,2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Более 0,2 до 5,0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более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5,0 до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50,0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более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50,0 до 280</w:t>
            </w:r>
          </w:p>
        </w:tc>
      </w:tr>
      <w:tr>
        <w:trPr>
          <w:trHeight w:val="647" w:hRule="atLeast"/>
          <w:cantSplit w:val="true"/>
        </w:trPr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Насосные станции и аварийно-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регулирующие резервуары, локальные очистные сооружения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20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20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30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  <w:tr>
        <w:trPr>
          <w:trHeight w:val="863" w:hRule="atLeast"/>
          <w:cantSplit w:val="true"/>
        </w:trPr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Сооружения для механической и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биологической очистки с иловыми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площадками для сброженных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осадков, а также иловые площадки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150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200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400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500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  <w:tr>
        <w:trPr>
          <w:trHeight w:val="863" w:hRule="atLeast"/>
          <w:cantSplit w:val="true"/>
        </w:trPr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Сооружения для механической и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биологической очистки с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термомеханической обработкой осадка в закрытых помещениях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100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150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300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400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</w:p>
        </w:tc>
      </w:tr>
      <w:tr>
        <w:trPr>
          <w:trHeight w:val="647" w:hRule="atLeast"/>
          <w:cantSplit w:val="true"/>
        </w:trPr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Поля: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а) фильтрации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б) орошения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200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150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300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200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500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400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1000</w:t>
            </w:r>
          </w:p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1000</w:t>
            </w:r>
          </w:p>
        </w:tc>
      </w:tr>
      <w:tr>
        <w:trPr>
          <w:trHeight w:val="215" w:hRule="atLeast"/>
          <w:cantSplit w:val="true"/>
        </w:trPr>
        <w:tc>
          <w:tcPr>
            <w:tcW w:w="4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Биологические пруды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200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200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300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300</w:t>
            </w:r>
          </w:p>
        </w:tc>
      </w:tr>
    </w:tbl>
    <w:p>
      <w:pPr>
        <w:pStyle w:val="Style65"/>
        <w:numPr>
          <w:ilvl w:val="0"/>
          <w:numId w:val="0"/>
        </w:numPr>
        <w:tabs>
          <w:tab w:val="clear" w:pos="-7440"/>
          <w:tab w:val="left" w:pos="-425" w:leader="none"/>
          <w:tab w:val="left" w:pos="567" w:leader="none"/>
        </w:tabs>
        <w:spacing w:before="240" w:after="0"/>
        <w:ind w:left="567" w:hanging="360"/>
        <w:rPr>
          <w:rFonts w:ascii="Liberation Serif" w:hAnsi="Liberation Serif"/>
        </w:rPr>
      </w:pPr>
      <w:r>
        <w:rPr>
          <w:rFonts w:ascii="Liberation Serif" w:hAnsi="Liberation Serif"/>
        </w:rPr>
      </w:r>
      <w:bookmarkStart w:id="208" w:name="116"/>
      <w:bookmarkStart w:id="209" w:name="116"/>
      <w:bookmarkEnd w:id="209"/>
    </w:p>
    <w:p>
      <w:pPr>
        <w:pStyle w:val="Style65"/>
        <w:numPr>
          <w:ilvl w:val="0"/>
          <w:numId w:val="7"/>
        </w:numPr>
        <w:tabs>
          <w:tab w:val="clear" w:pos="-7440"/>
          <w:tab w:val="left" w:pos="142" w:leader="none"/>
          <w:tab w:val="left" w:pos="1134" w:leader="none"/>
        </w:tabs>
        <w:spacing w:before="240" w:after="0"/>
        <w:ind w:left="0" w:firstLine="567"/>
        <w:rPr/>
      </w:pPr>
      <w:r>
        <w:rPr>
          <w:rStyle w:val="Style9"/>
          <w:rFonts w:ascii="Liberation Serif" w:hAnsi="Liberation Serif"/>
        </w:rPr>
        <w:t>Размер СЗЗ для канализационных очистных сооружений производительностью более 280 тыс. м</w:t>
      </w:r>
      <w:r>
        <w:rPr>
          <w:rStyle w:val="Style9"/>
          <w:rFonts w:ascii="Liberation Serif" w:hAnsi="Liberation Serif"/>
          <w:position w:val="24"/>
          <w:sz w:val="16"/>
        </w:rPr>
        <w:t>3</w:t>
      </w:r>
      <w:r>
        <w:rPr>
          <w:rStyle w:val="Style9"/>
          <w:rFonts w:ascii="Liberation Serif" w:hAnsi="Liberation Serif"/>
        </w:rPr>
        <w:t>/сутки, а также при принятии новых технологий очистки сточных вод и обработки осадка, следует устанавливать в соответствии с требованиями п. 4.8.СанПиН 2.2.1/2.1.1.1200-03 «Санитарно-защитные зоны и санитарная классификация предприятий, сооружений и иных объектов»</w:t>
      </w:r>
    </w:p>
    <w:p>
      <w:pPr>
        <w:pStyle w:val="Style65"/>
        <w:numPr>
          <w:ilvl w:val="0"/>
          <w:numId w:val="7"/>
        </w:numPr>
        <w:tabs>
          <w:tab w:val="clear" w:pos="-7440"/>
          <w:tab w:val="left" w:pos="142" w:leader="none"/>
          <w:tab w:val="left" w:pos="1134" w:leader="none"/>
        </w:tabs>
        <w:ind w:left="0" w:firstLine="567"/>
        <w:rPr/>
      </w:pPr>
      <w:r>
        <w:rPr>
          <w:rStyle w:val="Style9"/>
          <w:rFonts w:ascii="Liberation Serif" w:hAnsi="Liberation Serif"/>
        </w:rPr>
        <w:t>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</w:t>
      </w:r>
      <w:r>
        <w:rPr>
          <w:rStyle w:val="Style9"/>
          <w:rFonts w:ascii="Liberation Serif" w:hAnsi="Liberation Serif"/>
          <w:position w:val="24"/>
          <w:sz w:val="16"/>
        </w:rPr>
        <w:t>3</w:t>
      </w:r>
      <w:r>
        <w:rPr>
          <w:rStyle w:val="Style9"/>
          <w:rFonts w:ascii="Liberation Serif" w:hAnsi="Liberation Serif"/>
        </w:rPr>
        <w:t>/сутки, СЗЗ следует принимать размером 100 м.</w:t>
      </w:r>
    </w:p>
    <w:p>
      <w:pPr>
        <w:pStyle w:val="Style65"/>
        <w:numPr>
          <w:ilvl w:val="0"/>
          <w:numId w:val="7"/>
        </w:numPr>
        <w:tabs>
          <w:tab w:val="clear" w:pos="-7440"/>
          <w:tab w:val="left" w:pos="142" w:leader="none"/>
          <w:tab w:val="left" w:pos="1134" w:leader="none"/>
        </w:tabs>
        <w:ind w:left="0" w:firstLine="567"/>
        <w:rPr/>
      </w:pPr>
      <w:r>
        <w:rPr>
          <w:rStyle w:val="Style9"/>
          <w:rFonts w:ascii="Liberation Serif" w:hAnsi="Liberation Serif"/>
        </w:rPr>
        <w:t>Для полей подземной фильтрации пропускной способностью до 15 м</w:t>
      </w:r>
      <w:r>
        <w:rPr>
          <w:rStyle w:val="Style9"/>
          <w:rFonts w:ascii="Liberation Serif" w:hAnsi="Liberation Serif"/>
          <w:position w:val="24"/>
          <w:sz w:val="16"/>
        </w:rPr>
        <w:t>3</w:t>
      </w:r>
      <w:r>
        <w:rPr>
          <w:rStyle w:val="Style9"/>
          <w:rFonts w:ascii="Liberation Serif" w:hAnsi="Liberation Serif"/>
          <w:sz w:val="23"/>
          <w:szCs w:val="23"/>
        </w:rPr>
        <w:t>/</w:t>
      </w:r>
      <w:r>
        <w:rPr>
          <w:rStyle w:val="Style9"/>
          <w:rFonts w:ascii="Liberation Serif" w:hAnsi="Liberation Serif"/>
        </w:rPr>
        <w:t>сутки размер СЗЗ следует принимать размером 50 м.</w:t>
      </w:r>
    </w:p>
    <w:p>
      <w:pPr>
        <w:pStyle w:val="Style65"/>
        <w:numPr>
          <w:ilvl w:val="0"/>
          <w:numId w:val="7"/>
        </w:numPr>
        <w:tabs>
          <w:tab w:val="clear" w:pos="-7440"/>
          <w:tab w:val="left" w:pos="142" w:leader="none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Размер СЗЗ от сливных станций следует принимать 300 м.</w:t>
      </w:r>
    </w:p>
    <w:p>
      <w:pPr>
        <w:pStyle w:val="Style65"/>
        <w:numPr>
          <w:ilvl w:val="0"/>
          <w:numId w:val="7"/>
        </w:numPr>
        <w:tabs>
          <w:tab w:val="clear" w:pos="-7440"/>
          <w:tab w:val="left" w:pos="142" w:leader="none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Размер СЗЗ от очистных сооружений поверхностного стока открытого типа до жилой территории следует принимать 100 м, закрытого типа - 50 м.</w:t>
      </w:r>
    </w:p>
    <w:p>
      <w:pPr>
        <w:pStyle w:val="Style65"/>
        <w:numPr>
          <w:ilvl w:val="0"/>
          <w:numId w:val="7"/>
        </w:numPr>
        <w:tabs>
          <w:tab w:val="clear" w:pos="-7440"/>
          <w:tab w:val="left" w:pos="142" w:leader="none"/>
          <w:tab w:val="left" w:pos="1134" w:leader="none"/>
        </w:tabs>
        <w:ind w:left="0" w:firstLine="567"/>
        <w:rPr>
          <w:rFonts w:ascii="Liberation Serif" w:hAnsi="Liberation Serif"/>
        </w:rPr>
      </w:pPr>
      <w:bookmarkStart w:id="210" w:name="117"/>
      <w:bookmarkEnd w:id="210"/>
      <w:r>
        <w:rPr>
          <w:rFonts w:ascii="Liberation Serif" w:hAnsi="Liberation Serif"/>
        </w:rPr>
        <w:t>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 СЗЗ следует принимать такими же, как для производств, от которых поступают сточные воды, но не менее указанных в таблице.</w:t>
      </w:r>
    </w:p>
    <w:p>
      <w:pPr>
        <w:pStyle w:val="Style65"/>
        <w:numPr>
          <w:ilvl w:val="0"/>
          <w:numId w:val="7"/>
        </w:numPr>
        <w:tabs>
          <w:tab w:val="clear" w:pos="-7440"/>
          <w:tab w:val="left" w:pos="142" w:leader="none"/>
          <w:tab w:val="left" w:pos="1134" w:leader="none"/>
        </w:tabs>
        <w:ind w:left="0" w:firstLine="567"/>
        <w:rPr>
          <w:rFonts w:ascii="Liberation Serif" w:hAnsi="Liberation Serif"/>
        </w:rPr>
      </w:pPr>
      <w:r>
        <w:rPr>
          <w:rFonts w:ascii="Liberation Serif" w:hAnsi="Liberation Serif"/>
        </w:rPr>
        <w:t>Размер СЗЗ от снеготаялок и снегосплавных пунктов до жилой территории следует принимать 100м.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Предлагаемые схемой мероприятия по проектированию и строительству систем отведения позволят улучшить санитарное состояние и качество воды поверхностных водных объектов на территории Камышловского городского округа.</w:t>
      </w:r>
      <w:r>
        <w:br w:type="page"/>
      </w:r>
    </w:p>
    <w:p>
      <w:pPr>
        <w:pStyle w:val="111"/>
        <w:numPr>
          <w:ilvl w:val="0"/>
          <w:numId w:val="0"/>
        </w:numPr>
        <w:tabs>
          <w:tab w:val="clear" w:pos="709"/>
          <w:tab w:val="left" w:pos="-2933" w:leader="none"/>
        </w:tabs>
        <w:ind w:left="701" w:hanging="600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5. </w:t>
      </w:r>
      <w:bookmarkStart w:id="211" w:name="_Toc531704247"/>
      <w:bookmarkStart w:id="212" w:name="_Toc531598970"/>
      <w:bookmarkStart w:id="213" w:name="_Toc401068006"/>
      <w:r>
        <w:rPr>
          <w:rFonts w:ascii="Liberation Serif" w:hAnsi="Liberation Serif"/>
        </w:rP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11"/>
      <w:bookmarkEnd w:id="212"/>
      <w:bookmarkEnd w:id="213"/>
    </w:p>
    <w:p>
      <w:pPr>
        <w:pStyle w:val="23"/>
        <w:rPr/>
      </w:pPr>
      <w:r>
        <w:rPr/>
        <w:t xml:space="preserve">5.1. </w:t>
      </w:r>
      <w:bookmarkStart w:id="214" w:name="_Toc531704248"/>
      <w:bookmarkStart w:id="215" w:name="_Toc531598971"/>
      <w:bookmarkStart w:id="216" w:name="_Toc401068007"/>
      <w:bookmarkStart w:id="217" w:name="_Toc390696272"/>
      <w:bookmarkStart w:id="218" w:name="_Toc390696060"/>
      <w:r>
        <w:rPr/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14"/>
      <w:bookmarkEnd w:id="215"/>
      <w:bookmarkEnd w:id="216"/>
      <w:bookmarkEnd w:id="217"/>
      <w:bookmarkEnd w:id="218"/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Эффектом от внедрения мероприятий по улучшению экологической обстановки окружающей среды является улучшение здоровья и качества жизни горожан.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Санитарное состояние водоемов формируется под влияние природных факторов и хозяйственной деятельности человека. Качество воды в водных объектах напрямую зависит от степени очистки производственных (химически загрязненных) и хозяйственно-фекальных сточных вод, а также от соблюдения режима использования водоохранных зон (ВОЗ) и прибрежно-защитных полос (ПЗП).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Прибрежные защитные полосы должны быть заняты древесно-кустарниковой растительностью или залужены. Территория зоны первого пояса зоны санитарной охраны должна быть спланирована для отвода поверхностного стока за ее пределы, озеленена, огорожена, обеспечена охраной, дорожки к сооружениям должны иметь твердое покрытие.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Вследствие специфики проекта, основные проблемы, связанные с охраной окружающей среды и здоровьем населения, совпадают с основными проблемами общего характера, так как деятельность по водоотведению напрямую связана со здоровьем населения, загрязнением подземных и поверхностных вод, в том числе из-за сброса неочищенных и недостаточно очищенных сточных вод, отсутствием зон ЗСО и СЗЗ.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Основными проблемами, относящимися к охране окружающей среды и здоровью населения, при этом являются: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Высокий риск загрязнения подземных вод с поверхности (в том числе нефтепродуктами, а также вторичное микробиологическое загрязнение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Наличие населенных пунктов, не подключенных к централизованной системе канализации, что может являться причиной несанкционированного сброса неочищенных сточных вод в природные объекты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Неспособность канализационный очистных сооружений обеспечить полное соответствие нормативным требованиям в случае повышения количества сточных вод.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Несоответствие способа утилизации осадка очистных сооружений и избыточного ила наилучшим практикам и требованиям законодательства РФ.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Комплекс мер, предложенный в настоящем документе, направлен на разрешение перечисленных проблем. Развитие технической составляющей системы водоотведения, а также повышение параметров энергосбережения, снижение показателей аварийности и утечек положительно сказываются на степени воздействия на окружающую среду.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eastAsia="Calibri" w:ascii="Liberation Serif" w:hAnsi="Liberation Serif"/>
        </w:rPr>
        <w:t xml:space="preserve">Таким образом, в долгосрочной перспективе все предложенные к реализации проекты оказывают в долгосрочной перспективе только положительное воздействие на окружающую среду, способствуют более рациональному расходованию ресурсов (воды и энергии), а также улучшению санитарно-эпидемиологической обстановки на территории </w:t>
      </w:r>
      <w:r>
        <w:rPr>
          <w:rStyle w:val="Style9"/>
          <w:rFonts w:ascii="Liberation Serif" w:hAnsi="Liberation Serif"/>
        </w:rPr>
        <w:t>городского округа</w:t>
      </w:r>
      <w:r>
        <w:rPr>
          <w:rStyle w:val="Style9"/>
          <w:rFonts w:eastAsia="Calibri" w:ascii="Liberation Serif" w:hAnsi="Liberation Serif"/>
        </w:rPr>
        <w:t>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Основное негативное воздействие на окружающую среду в результате реализации предложенных проектов будет связано с этапом строительства.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Среди проектов, предложенных к реализации, отсутствует строительство новых наземных объектов на неосвоенных территориях, все проекты будут реализовываться на существующих площадках предприятия или в границах застройки (реновация и перекладка, а также строительство новых трубопроводов). Таким образом, реализация мероприятий не приведет к воздействию на биоразнообразие, а также не окажет воздействия на охраняемые виды флоры и фауны региона.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По типу воздействий на окружающую среду предложенные к реализации проекты можно разделить на несколько групп, похожих по характеру воздействия на окружающую среду: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  <w:lang w:eastAsia="da-DK"/>
        </w:rPr>
      </w:pPr>
      <w:r>
        <w:rPr>
          <w:rFonts w:eastAsia="Calibri" w:ascii="Liberation Serif" w:hAnsi="Liberation Serif"/>
          <w:lang w:eastAsia="da-DK"/>
        </w:rPr>
        <w:t>Замена трубопроводов, а также строительство новых сетей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  <w:lang w:eastAsia="da-DK"/>
        </w:rPr>
      </w:pPr>
      <w:r>
        <w:rPr>
          <w:rFonts w:eastAsia="Calibri" w:ascii="Liberation Serif" w:hAnsi="Liberation Serif"/>
          <w:lang w:eastAsia="da-DK"/>
        </w:rPr>
        <w:t>Реконструкция существующих сооружений системы водоотведения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Наибольшее количество проектов, предложенных в Схеме, связаны с реновацией и заменой существующих трубопроводов, а также со строительством новых сетей канализации в существующих и проектируемых районах.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В эту группу входят следующие проекты: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  <w:lang w:eastAsia="da-DK"/>
        </w:rPr>
      </w:pPr>
      <w:r>
        <w:rPr>
          <w:rFonts w:eastAsia="Calibri" w:ascii="Liberation Serif" w:hAnsi="Liberation Serif"/>
          <w:lang w:eastAsia="da-DK"/>
        </w:rPr>
        <w:t>Реновация уличных сетей канализации (самотечных и напорных коллекторов)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  <w:lang w:eastAsia="da-DK"/>
        </w:rPr>
      </w:pPr>
      <w:r>
        <w:rPr>
          <w:rFonts w:eastAsia="Calibri" w:ascii="Liberation Serif" w:hAnsi="Liberation Serif"/>
          <w:lang w:eastAsia="da-DK"/>
        </w:rPr>
        <w:t>Строительство сетей водоотведения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 xml:space="preserve">При этом для реновации сетей предполагается использование двух методов: бестраншейной реновации и открытой перекладки сетей.  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В случае использование метода бестраншейной реновации воздействие на окружающую среду минимально. Основными воздействиями на окружающую среду при выборе этого метода будут: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  <w:lang w:eastAsia="da-DK"/>
        </w:rPr>
      </w:pPr>
      <w:r>
        <w:rPr>
          <w:rFonts w:eastAsia="Calibri" w:ascii="Liberation Serif" w:hAnsi="Liberation Serif"/>
          <w:lang w:eastAsia="da-DK"/>
        </w:rPr>
        <w:t>выбросы загрязняющих веществ от транспорта и строительной техники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  <w:lang w:eastAsia="da-DK"/>
        </w:rPr>
      </w:pPr>
      <w:r>
        <w:rPr>
          <w:rFonts w:eastAsia="Calibri" w:ascii="Liberation Serif" w:hAnsi="Liberation Serif"/>
          <w:lang w:eastAsia="da-DK"/>
        </w:rPr>
        <w:t>повышенный уровень шума в районе ведения работ.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При открытой перекладке сетей, а также при прокладке новых сетей воздействий на окружающую среду больше: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возможное нарушение существующих дорог и коммуникаций, нарушение почв, уничтожение зеленых насаждений и т.д.;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дополнительное загрязнение воздуха за счет выбросов выхлопных газов строительной техники и используемого автотранспорта, а также возможность возникновения ветровой эрозии нарушенных почв и земляных отвалов;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загрязнение прилегающих к строительству территорий за счет размыва земляных отвалов дождевыми стоками;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загрязнение атмосферы пылью при выполнении земляных работ;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утилизация старых труб (при выполнении работ с изъятием старых труб);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шумовое загрязнение прилегающих к строительству территорий за счет работы техники и автотранспорта.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Однако все вышеперечисленные воздействия минимизируются соблюдением всех мер по предотвращению негативного воздействия на окружающую среду, использования исправной техники, четким соблюдением сроков работ, организации работ в пределах жилых кварталов и т.д.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После введения новых трубопроводов в эксплуатацию дополнительных негативных воздействий на окружающую среду не будет. Результатом реализации данных проектов станет повышение надежности и качества услуг, снижение рисков попадания неочищенных канализационных стоков в грунты и грунтовые воды в результате аварий.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Следующая группа проектов подразумевает реконструкцию и модернизацию существующих объектов водоотведения. К этой группе проектов относятся:</w:t>
      </w:r>
    </w:p>
    <w:p>
      <w:pPr>
        <w:pStyle w:val="Style40"/>
        <w:keepLines/>
        <w:numPr>
          <w:ilvl w:val="0"/>
          <w:numId w:val="8"/>
        </w:numPr>
        <w:tabs>
          <w:tab w:val="clear" w:pos="709"/>
          <w:tab w:val="left" w:pos="-9861" w:leader="none"/>
        </w:tabs>
        <w:spacing w:lineRule="auto" w:line="360"/>
        <w:rPr>
          <w:rFonts w:ascii="Liberation Serif" w:hAnsi="Liberation Serif"/>
          <w:szCs w:val="20"/>
          <w:lang w:eastAsia="da-DK"/>
        </w:rPr>
      </w:pPr>
      <w:r>
        <w:rPr>
          <w:rFonts w:ascii="Liberation Serif" w:hAnsi="Liberation Serif"/>
          <w:szCs w:val="20"/>
          <w:lang w:eastAsia="da-DK"/>
        </w:rPr>
        <w:t>Модернизация КОС</w:t>
      </w:r>
    </w:p>
    <w:p>
      <w:pPr>
        <w:pStyle w:val="Style40"/>
        <w:keepLines/>
        <w:numPr>
          <w:ilvl w:val="0"/>
          <w:numId w:val="8"/>
        </w:numPr>
        <w:tabs>
          <w:tab w:val="clear" w:pos="709"/>
          <w:tab w:val="left" w:pos="-9861" w:leader="none"/>
        </w:tabs>
        <w:spacing w:lineRule="auto" w:line="360"/>
        <w:rPr>
          <w:rFonts w:ascii="Liberation Serif" w:hAnsi="Liberation Serif"/>
          <w:szCs w:val="20"/>
          <w:lang w:eastAsia="da-DK"/>
        </w:rPr>
      </w:pPr>
      <w:r>
        <w:rPr>
          <w:rFonts w:ascii="Liberation Serif" w:hAnsi="Liberation Serif"/>
          <w:szCs w:val="20"/>
          <w:lang w:eastAsia="da-DK"/>
        </w:rPr>
        <w:t>Модернизация КНС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При реализации данных проектов основные негативные воздействия на окружающую среду будут связаны непосредственно с работами по модернизации и строительству. Однако все воздействия будут осуществляться на ограниченной территории существующих производственных площадок. Также можно ожидать увеличения транспортной нагрузки из-за использования строительного оборудования и техники, а также увеличения уровня шума в результате производства строительных работ.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Негативное экологическое воздействие будет заключаться в следующем: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загрязнение воздуха на площадке, где будут осуществляться работы по реализации проекта и запуску оборудования;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засорение здания и прилегающей территории частями разобранного оборудования;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шумовое загрязнение рабочей площадки и прилегающей территории.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Для минимизации негативных воздействий на этапе реализации проекта необходимо проведение следующих мероприятий: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планирование регулярных проверок на соответствие качества воздуха;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планирование уборки площадки, где реализуется проект, а также хранения и отведения отходов;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соблюдение графика ведения шумных работ.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Реконструкция КОС позволит устранить существующие недостатки, снижающие качества очистки сточных вод и нейтрализовать нарушения, связанные с обращением с осадком и избыточным илом очистных сооружений. С точки зрения непосредственного воздействия на окружающую среду, данное мероприятие имеет наивысшее значение, так как позволит значительно снизить нагрузку на окружающую среду, существующую в данный момент, а также позволит гарантировать соответствие сбрасываемых очищенных сточных вод нормативным требованиям РФ.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Дополнительных негативных воздействий на окружающую среду в штатном режиме работы вышеназванных сооружений не ожидается.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В целом в результате рассмотрения предложенных проектов можно сделать вывод, что основное негативное воздействие на окружающую среду будет связано с этапом реализации и не будет выходить за рамки воздействий, обычных для ведения любых строительных работ. В долгосрочной же перспективе выполнение данных мероприятий позволит повысить уровень охраны окружающей среды городского округа.</w:t>
      </w:r>
    </w:p>
    <w:p>
      <w:pPr>
        <w:pStyle w:val="23"/>
        <w:rPr/>
      </w:pPr>
      <w:r>
        <w:rPr/>
        <w:t xml:space="preserve">5.2. </w:t>
      </w:r>
      <w:bookmarkStart w:id="219" w:name="_Toc531704249"/>
      <w:bookmarkStart w:id="220" w:name="_Toc531598972"/>
      <w:bookmarkStart w:id="221" w:name="_Toc401068008"/>
      <w:bookmarkStart w:id="222" w:name="_Toc390696273"/>
      <w:bookmarkStart w:id="223" w:name="_Toc390696061"/>
      <w:r>
        <w:rPr/>
        <w:t>Сведения о применении методов, безопасных для окружающей среды, при утилизации осадков сточных вод</w:t>
      </w:r>
      <w:bookmarkEnd w:id="219"/>
      <w:bookmarkEnd w:id="220"/>
      <w:bookmarkEnd w:id="221"/>
      <w:bookmarkEnd w:id="222"/>
      <w:bookmarkEnd w:id="223"/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При реконструкции очистных сооружений необходимо предусмотреть мероприятия по утилизации осадка сточных вод.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Обработка смеси осадка из первичных отстойников и избыточного активного ила должна включать: 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стабилизацию в минерализаторе; 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уплотнение в радиальном первичном отстойнике; </w:t>
      </w:r>
    </w:p>
    <w:p>
      <w:pPr>
        <w:pStyle w:val="Style65"/>
        <w:numPr>
          <w:ilvl w:val="0"/>
          <w:numId w:val="4"/>
        </w:numPr>
        <w:tabs>
          <w:tab w:val="left" w:pos="-8432" w:leader="none"/>
          <w:tab w:val="left" w:pos="-7440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цетрифугирование с предварительной добавкой флокулянта, накопление кека в бункерах и последующий вывоз его на площадки складирования. 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eastAsia="Calibri" w:ascii="Liberation Serif" w:hAnsi="Liberation Serif"/>
        </w:rPr>
        <w:t>В результате обработки осадков сточных вод получается конечный продукт, свойства которого обеспечивают возможность его утилизации, а ущерб, наносимый окружающей среде, сведен к минимуму, в результате чего обеспечивается экологическая безопасность населения.</w:t>
      </w:r>
      <w:r>
        <w:rPr>
          <w:rStyle w:val="Style9"/>
          <w:rFonts w:eastAsia="Calibri" w:ascii="Liberation Serif" w:hAnsi="Liberation Serif"/>
          <w:bCs/>
        </w:rPr>
        <w:tab/>
      </w:r>
      <w:bookmarkStart w:id="224" w:name="_Toc401068009"/>
      <w:r>
        <w:br w:type="page"/>
      </w:r>
    </w:p>
    <w:p>
      <w:pPr>
        <w:pStyle w:val="111"/>
        <w:numPr>
          <w:ilvl w:val="0"/>
          <w:numId w:val="0"/>
        </w:numPr>
        <w:tabs>
          <w:tab w:val="clear" w:pos="709"/>
          <w:tab w:val="left" w:pos="-2933" w:leader="none"/>
        </w:tabs>
        <w:ind w:left="701" w:hanging="600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6. </w:t>
      </w:r>
      <w:bookmarkStart w:id="225" w:name="_Toc531704250"/>
      <w:bookmarkStart w:id="226" w:name="_Toc531598973"/>
      <w:r>
        <w:rPr>
          <w:rFonts w:ascii="Liberation Serif" w:hAnsi="Liberation Serif"/>
        </w:rPr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24"/>
      <w:bookmarkEnd w:id="225"/>
      <w:bookmarkEnd w:id="226"/>
    </w:p>
    <w:p>
      <w:pPr>
        <w:sectPr>
          <w:headerReference w:type="default" r:id="rId42"/>
          <w:footerReference w:type="default" r:id="rId43"/>
          <w:footerReference w:type="first" r:id="rId44"/>
          <w:type w:val="nextPage"/>
          <w:pgSz w:w="11906" w:h="16838"/>
          <w:pgMar w:left="1134" w:right="567" w:header="720" w:top="720" w:footer="720" w:bottom="1134" w:gutter="0"/>
          <w:pgNumType w:fmt="decimal"/>
          <w:formProt w:val="false"/>
          <w:titlePg/>
          <w:textDirection w:val="lrTb"/>
          <w:docGrid w:type="default" w:linePitch="600" w:charSpace="40960"/>
        </w:sectPr>
        <w:pStyle w:val="Style67"/>
        <w:rPr/>
      </w:pPr>
      <w:r>
        <w:rPr>
          <w:rStyle w:val="Style9"/>
          <w:rFonts w:ascii="Liberation Serif" w:hAnsi="Liberation Serif"/>
        </w:rPr>
        <w:t>Потребность в капитальных вложениях в строительство, реконструкцию и модернизацию объектов централизованной системы водоотведения представлена в таблице</w:t>
      </w:r>
      <w:r>
        <w:rPr/>
        <w:fldChar w:fldCharType="begin"/>
      </w:r>
      <w:r>
        <w:rPr/>
        <w:instrText> REF _Ref530593200 \h </w:instrText>
      </w:r>
      <w:r>
        <w:rPr/>
        <w:fldChar w:fldCharType="separate"/>
      </w:r>
      <w:r>
        <w:rPr/>
      </w:r>
      <w:r>
        <w:rPr/>
        <w:fldChar w:fldCharType="end"/>
      </w:r>
    </w:p>
    <w:p>
      <w:pPr>
        <w:sectPr>
          <w:headerReference w:type="default" r:id="rId45"/>
          <w:footerReference w:type="default" r:id="rId46"/>
          <w:type w:val="nextPage"/>
          <w:pgSz w:w="11906" w:h="16838"/>
          <w:pgMar w:left="1134" w:right="567" w:header="0" w:top="720" w:footer="720" w:bottom="1134" w:gutter="0"/>
          <w:pgNumType w:fmt="decimal"/>
          <w:formProt w:val="false"/>
          <w:textDirection w:val="lrTb"/>
          <w:docGrid w:type="default" w:linePitch="600" w:charSpace="40960"/>
        </w:sectPr>
        <w:pStyle w:val="Style67"/>
        <w:rPr/>
      </w:pPr>
      <w:r>
        <w:rPr/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eastAsia="Calibri" w:ascii="Liberation Serif" w:hAnsi="Liberation Serif"/>
        </w:rPr>
        <w:t>таблица 18.</w:t>
      </w:r>
    </w:p>
    <w:p>
      <w:pPr>
        <w:pStyle w:val="Style64"/>
        <w:tabs>
          <w:tab w:val="clear" w:pos="709"/>
          <w:tab w:val="left" w:pos="142" w:leader="none"/>
        </w:tabs>
        <w:rPr/>
      </w:pPr>
      <w:r>
        <w:rPr>
          <w:rStyle w:val="Style9"/>
          <w:rFonts w:eastAsia="Calibri" w:ascii="Liberation Serif" w:hAnsi="Liberation Serif"/>
        </w:rPr>
        <w:t xml:space="preserve">Общая величина необходимых капитальных вложений в строительство и реконструкцию объектов централизованных систем водоотведения, определенная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составляет </w:t>
      </w:r>
      <w:r>
        <w:rPr>
          <w:rStyle w:val="Style9"/>
          <w:rFonts w:ascii="Liberation Serif" w:hAnsi="Liberation Serif"/>
        </w:rPr>
        <w:t>573 959,8 тыс. руб.</w:t>
      </w:r>
    </w:p>
    <w:p>
      <w:pPr>
        <w:pStyle w:val="Style64"/>
        <w:tabs>
          <w:tab w:val="clear" w:pos="709"/>
          <w:tab w:val="left" w:pos="142" w:leader="none"/>
        </w:tabs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Данные стоимости мероприятий являются ориентировочными, рассчитаны в текущих ценах, подлежат актуализации на момент реализации мероприятий и должны быть уточнены после разработки проектно-сметной документации.</w:t>
      </w:r>
    </w:p>
    <w:p>
      <w:pPr>
        <w:pStyle w:val="Style64"/>
        <w:rPr/>
      </w:pPr>
      <w:r>
        <w:rPr>
          <w:rStyle w:val="Style9"/>
          <w:rFonts w:ascii="Liberation Serif" w:hAnsi="Liberation Serif"/>
        </w:rPr>
        <w:t xml:space="preserve">Для расчета цен на строительство объектов системы водоснабжения был проведен анализ стоимости аналогичных объектов на официальном сайте Российской Федерации в сети Интернет для размещения информации о размещении заказов на поставки товаров, выполнение работ, оказание услуг. Также использовались нормативы сметной стоимости НЦС 81-02-14-2017 «Сети водоснабжения и канализации». Удельные цены, принятые для расчета представлены в таблице </w:t>
      </w:r>
      <w:r>
        <w:rPr>
          <w:rStyle w:val="Style9"/>
          <w:rFonts w:ascii="Liberation Serif" w:hAnsi="Liberation Serif"/>
        </w:rPr>
        <w:fldChar w:fldCharType="begin"/>
      </w:r>
      <w:r>
        <w:rPr>
          <w:rStyle w:val="Style9"/>
          <w:rFonts w:ascii="Liberation Serif" w:hAnsi="Liberation Serif"/>
        </w:rPr>
        <w:instrText> REF _Ref530593290 \h </w:instrText>
      </w:r>
      <w:r>
        <w:rPr>
          <w:rStyle w:val="Style9"/>
          <w:rFonts w:ascii="Liberation Serif" w:hAnsi="Liberation Serif"/>
        </w:rPr>
        <w:fldChar w:fldCharType="separate"/>
      </w:r>
      <w:r>
        <w:rPr>
          <w:rStyle w:val="Style9"/>
          <w:rFonts w:ascii="Liberation Serif" w:hAnsi="Liberation Serif"/>
        </w:rPr>
        <w:t>Таблица 17</w:t>
      </w:r>
      <w:r>
        <w:rPr>
          <w:rStyle w:val="Style9"/>
          <w:rFonts w:ascii="Liberation Serif" w:hAnsi="Liberation Serif"/>
        </w:rPr>
        <w:fldChar w:fldCharType="end"/>
      </w:r>
      <w:r>
        <w:rPr>
          <w:rStyle w:val="Style9"/>
          <w:rFonts w:ascii="Liberation Serif" w:hAnsi="Liberation Serif"/>
        </w:rPr>
        <w:t>.</w:t>
      </w:r>
    </w:p>
    <w:p>
      <w:pPr>
        <w:pStyle w:val="Style67"/>
        <w:rPr/>
      </w:pPr>
      <w:bookmarkStart w:id="227" w:name="_Ref530593290"/>
      <w:r>
        <w:rPr>
          <w:rStyle w:val="Style9"/>
          <w:rFonts w:ascii="Liberation Serif" w:hAnsi="Liberation Serif"/>
        </w:rPr>
        <w:t>Таблица 17</w:t>
      </w:r>
      <w:bookmarkEnd w:id="227"/>
      <w:r>
        <w:rPr>
          <w:rStyle w:val="Style9"/>
          <w:rFonts w:ascii="Liberation Serif" w:hAnsi="Liberation Serif"/>
        </w:rPr>
        <w:t>. Цена на строительство сетей канализации</w:t>
      </w:r>
    </w:p>
    <w:tbl>
      <w:tblPr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4"/>
        <w:gridCol w:w="4717"/>
        <w:gridCol w:w="3384"/>
      </w:tblGrid>
      <w:tr>
        <w:trPr/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68"/>
              <w:rPr>
                <w:rFonts w:ascii="Liberation Serif" w:hAnsi="Liberation Serif"/>
                <w:b/>
                <w:b/>
              </w:rPr>
            </w:pPr>
            <w:r>
              <w:rPr>
                <w:rFonts w:ascii="Liberation Serif" w:hAnsi="Liberation Serif"/>
                <w:b/>
              </w:rPr>
              <w:t>Номер расценок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68"/>
              <w:rPr>
                <w:rFonts w:ascii="Liberation Serif" w:hAnsi="Liberation Serif"/>
                <w:b/>
                <w:b/>
              </w:rPr>
            </w:pPr>
            <w:r>
              <w:rPr>
                <w:rFonts w:ascii="Liberation Serif" w:hAnsi="Liberation Serif"/>
                <w:b/>
              </w:rPr>
              <w:t>Наименования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68"/>
              <w:rPr>
                <w:rFonts w:ascii="Liberation Serif" w:hAnsi="Liberation Serif"/>
                <w:b/>
                <w:b/>
              </w:rPr>
            </w:pPr>
            <w:r>
              <w:rPr>
                <w:rFonts w:ascii="Liberation Serif" w:hAnsi="Liberation Serif"/>
                <w:b/>
              </w:rPr>
              <w:t>Цена тыс. руб. за 1 км</w:t>
            </w:r>
          </w:p>
        </w:tc>
      </w:tr>
      <w:tr>
        <w:trPr/>
        <w:tc>
          <w:tcPr>
            <w:tcW w:w="10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Наружные инженерные сети канализации из полиэтиленовых труб</w:t>
            </w:r>
          </w:p>
        </w:tc>
      </w:tr>
      <w:tr>
        <w:trPr/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14-07-001-02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160 мм и глубиной 3 м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4398,70</w:t>
            </w:r>
          </w:p>
        </w:tc>
      </w:tr>
      <w:tr>
        <w:trPr/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14-07-001-04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200 мм и глубиной 3 м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4934,52</w:t>
            </w:r>
          </w:p>
        </w:tc>
      </w:tr>
      <w:tr>
        <w:trPr/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14-07-001-06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315 мм и глубиной 3 м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5143,22</w:t>
            </w:r>
          </w:p>
        </w:tc>
      </w:tr>
      <w:tr>
        <w:trPr/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14-07-001-08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400 мм и глубиной 3 м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6302,78</w:t>
            </w:r>
          </w:p>
        </w:tc>
      </w:tr>
      <w:tr>
        <w:trPr/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14-07-001-10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500 мм и глубиной 3 м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68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8207,89</w:t>
            </w:r>
          </w:p>
        </w:tc>
      </w:tr>
    </w:tbl>
    <w:p>
      <w:pPr>
        <w:pStyle w:val="Style64"/>
        <w:spacing w:before="240" w:after="0"/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Объем финансовых потребностей на реализацию схемы водоотведения подлежит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мероприятий.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Основными источниками финансирования являются:</w:t>
      </w:r>
    </w:p>
    <w:p>
      <w:pPr>
        <w:pStyle w:val="Style65"/>
        <w:numPr>
          <w:ilvl w:val="0"/>
          <w:numId w:val="4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>средства областного бюджета;</w:t>
      </w:r>
    </w:p>
    <w:p>
      <w:pPr>
        <w:pStyle w:val="Style65"/>
        <w:numPr>
          <w:ilvl w:val="0"/>
          <w:numId w:val="4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>средства бюджета муниципального образования;</w:t>
      </w:r>
    </w:p>
    <w:p>
      <w:pPr>
        <w:pStyle w:val="Style65"/>
        <w:numPr>
          <w:ilvl w:val="0"/>
          <w:numId w:val="4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>средства, полученные от платы за подключение в соответствии с их инвестиционной программой;</w:t>
      </w:r>
    </w:p>
    <w:p>
      <w:pPr>
        <w:pStyle w:val="Style65"/>
        <w:numPr>
          <w:ilvl w:val="0"/>
          <w:numId w:val="4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>средства полученные в части инвестиционной надбавки к тарифу;</w:t>
      </w:r>
    </w:p>
    <w:p>
      <w:pPr>
        <w:pStyle w:val="Style65"/>
        <w:numPr>
          <w:ilvl w:val="0"/>
          <w:numId w:val="4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>кредитные средства и муниципальный заем;</w:t>
      </w:r>
    </w:p>
    <w:p>
      <w:pPr>
        <w:pStyle w:val="Style65"/>
        <w:numPr>
          <w:ilvl w:val="0"/>
          <w:numId w:val="4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>средства предприятий, заказчиков - застройщиков;</w:t>
      </w:r>
    </w:p>
    <w:p>
      <w:pPr>
        <w:pStyle w:val="Style65"/>
        <w:numPr>
          <w:ilvl w:val="0"/>
          <w:numId w:val="4"/>
        </w:numPr>
        <w:rPr>
          <w:rFonts w:ascii="Liberation Serif" w:hAnsi="Liberation Serif"/>
        </w:rPr>
      </w:pPr>
      <w:r>
        <w:rPr>
          <w:rFonts w:ascii="Liberation Serif" w:hAnsi="Liberation Serif"/>
        </w:rPr>
        <w:t>иные средства, предусмотренные законодательством.</w:t>
      </w:r>
    </w:p>
    <w:p>
      <w:pPr>
        <w:sectPr>
          <w:headerReference w:type="default" r:id="rId47"/>
          <w:footerReference w:type="default" r:id="rId48"/>
          <w:type w:val="nextPage"/>
          <w:pgSz w:w="11906" w:h="16838"/>
          <w:pgMar w:left="1134" w:right="567" w:header="0" w:top="720" w:footer="720" w:bottom="1134" w:gutter="0"/>
          <w:pgNumType w:fmt="decimal"/>
          <w:formProt w:val="false"/>
          <w:textDirection w:val="lrTb"/>
          <w:docGrid w:type="default" w:linePitch="600" w:charSpace="40960"/>
        </w:sectPr>
        <w:pStyle w:val="Style67"/>
        <w:rPr/>
      </w:pPr>
      <w:r>
        <w:rPr/>
      </w:r>
      <w:bookmarkStart w:id="228" w:name="_Ref530593200"/>
      <w:bookmarkStart w:id="229" w:name="_Ref530593200"/>
    </w:p>
    <w:p>
      <w:pPr>
        <w:pStyle w:val="Style67"/>
        <w:rPr/>
      </w:pPr>
      <w:bookmarkStart w:id="230" w:name="_Ref530593200"/>
      <w:r>
        <w:rPr>
          <w:rStyle w:val="Style9"/>
          <w:rFonts w:ascii="Liberation Serif" w:hAnsi="Liberation Serif"/>
        </w:rPr>
        <w:t>Таблица 18</w:t>
      </w:r>
      <w:bookmarkEnd w:id="230"/>
      <w:r>
        <w:rPr>
          <w:rStyle w:val="Style9"/>
          <w:rFonts w:ascii="Liberation Serif" w:hAnsi="Liberation Serif"/>
        </w:rPr>
        <w:t>. Капитальные вложения в систему водоотведения</w:t>
      </w:r>
    </w:p>
    <w:tbl>
      <w:tblPr>
        <w:tblW w:w="15209" w:type="dxa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5180"/>
        <w:gridCol w:w="1559"/>
        <w:gridCol w:w="911"/>
        <w:gridCol w:w="911"/>
        <w:gridCol w:w="911"/>
        <w:gridCol w:w="996"/>
        <w:gridCol w:w="996"/>
        <w:gridCol w:w="936"/>
        <w:gridCol w:w="936"/>
        <w:gridCol w:w="1169"/>
      </w:tblGrid>
      <w:tr>
        <w:trPr>
          <w:tblHeader w:val="true"/>
          <w:trHeight w:val="20" w:hRule="atLeast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Cs w:val="24"/>
                <w:lang w:eastAsia="ru-RU"/>
              </w:rPr>
              <w:t>№</w:t>
            </w:r>
          </w:p>
        </w:tc>
        <w:tc>
          <w:tcPr>
            <w:tcW w:w="5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Cs w:val="24"/>
                <w:lang w:eastAsia="ru-RU"/>
              </w:rPr>
              <w:t>Система обеспечения/ Мероприятие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Cs w:val="24"/>
                <w:lang w:eastAsia="ru-RU"/>
              </w:rPr>
              <w:t>Количество / характеристики</w:t>
            </w:r>
          </w:p>
        </w:tc>
        <w:tc>
          <w:tcPr>
            <w:tcW w:w="776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Cs w:val="24"/>
                <w:lang w:eastAsia="ru-RU"/>
              </w:rPr>
              <w:t>Инвестиции, тыс. руб.</w:t>
            </w:r>
          </w:p>
        </w:tc>
      </w:tr>
      <w:tr>
        <w:trPr>
          <w:tblHeader w:val="true"/>
          <w:trHeight w:val="20" w:hRule="atLeast"/>
        </w:trPr>
        <w:tc>
          <w:tcPr>
            <w:tcW w:w="70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51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55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Cs w:val="24"/>
                <w:lang w:eastAsia="ru-RU"/>
              </w:rPr>
              <w:t>2019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Cs w:val="24"/>
                <w:lang w:eastAsia="ru-RU"/>
              </w:rPr>
              <w:t>2020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Cs w:val="24"/>
                <w:lang w:eastAsia="ru-RU"/>
              </w:rPr>
              <w:t>2021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Cs w:val="24"/>
                <w:lang w:eastAsia="ru-RU"/>
              </w:rPr>
              <w:t>2022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Cs w:val="24"/>
                <w:lang w:eastAsia="ru-RU"/>
              </w:rPr>
              <w:t>2023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Cs w:val="24"/>
                <w:lang w:eastAsia="ru-RU"/>
              </w:rPr>
              <w:t>2024-2028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Cs w:val="24"/>
                <w:lang w:eastAsia="ru-RU"/>
              </w:rPr>
              <w:t>2029-2034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Cs w:val="24"/>
                <w:lang w:eastAsia="ru-RU"/>
              </w:rPr>
              <w:t>ИТОГО: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Внедрение технологии обезвоживания осадка очистных сооружений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Q = 19 тыс. м.куб./сут.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192010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192010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 xml:space="preserve">Строительство канализационных сетей от жилого сектора с выгребными ямами и подключение к централизованной системе канализации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10,2 км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10200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10200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20400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40800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Внедрение ультрафиолетового обеззараживания очищенной сточной воды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Q = 19 тыс. м.куб./сут.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5133,3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5133,3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5133,3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15400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Установка водосчетчика на очистных сооружениях сточных вод  п. Новый  Q = 19 тыс. м.куб./сут.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Q = 19 тыс. м.куб./сут.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1000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1000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Реконструкция и модернизация канализационных насосных станций: "Пролетарская", "Боровая", "Свердлова", "Северная", очистных сооружений (замена запорной арматуры, ремонт наземных сооружений, замена насосного оборудования, автоматизация, диспетчеризация, установка частотно-регулирующего оборудования, установка автономного резервного электропитания и т.д.)  «Пролетарская» (Q = 500 м.куб./сут.);</w:t>
              <w:br/>
              <w:t>«Боровая»  (Q = 100 м.куб./сут.);</w:t>
              <w:br/>
              <w:t>«Северная»  (Q = 100 м.куб./сут.);</w:t>
              <w:br/>
              <w:t xml:space="preserve"> п. Новый (Q = 19 тыс. м.куб./сут.)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«Пролетарская» (Q = 500 м.куб./сут.);</w:t>
              <w:br/>
              <w:t>«Боровая»  (Q = 100 м.куб./сут.);</w:t>
              <w:br/>
              <w:t>«Северная»  (Q = 100 м.куб./сут.);</w:t>
              <w:br/>
              <w:t xml:space="preserve"> п. Новый (Q = 19 тыс. м.куб./сут.)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6400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6400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6400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19200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Модернизация канализационных колодцев (замена деревянных крышек чугунными, гидроизоляция швов и стыков)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600 шт.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bottom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4209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4209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8418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Реконструкция и модернизация системы аэрации биологических очистных сооружений с заменой компрессорного оборудования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 xml:space="preserve"> </w:t>
            </w: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Q = 19 тыс. м.куб./сут.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20000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40000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Ремонт железобетонных конструкций биологических очистных сооружений с заменой запорной арматуры (восстановление поврежденных участков и гидроизоляция)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 xml:space="preserve"> </w:t>
            </w: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Q = 19 тыс. м.куб./сут.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Реконструкция и модернизация механической очисткисточных вод на биологических очистных сооружений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 xml:space="preserve"> </w:t>
            </w: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Q = 19 тыс. м.куб./сут.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25000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25000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Актуализация схемы водоотведения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Раз в 2 года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800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Строительство  резервной линии напорного коллектора от КНС «Пролетарская» до бака – гасителя по ул.Советской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1,0 км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6302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6302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Внедрение единой системы диспетчеризации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20000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20000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Реконструкция существующих самотечных и напорных коллекторов централизованной системы водоотведения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0,64 км в год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3158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3158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3158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3158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3158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15790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15790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47370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Установка емкостей на КНС "Пролетарская" для аварийного сброса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3000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3000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Замена канализационной сети от ул. Бажева, 55а до ул. Северной, 51 протяженностью 250 м Ø 160 мм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0,25 км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1099,7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1099,7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Замена канализационной сети по ул. Механизаторов от д. 3 до д.7 протяженностью 110 м Ø 160 мм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0,11 км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483,9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483,9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Замена канализационной сети от перекрестка улиц Стаханова Боровая до КНС "Боровая" протяженностью 1000 м Ø 600 мм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1,0 км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9976,2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9976,2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18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Мероприятия по обеспечению перспективных нагрузок проектируемого района Западной части</w:t>
            </w:r>
          </w:p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10000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10000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19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Мероприятия по обеспечению перспективных нагрузок проектируемого района Центральной части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5000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20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Сети ливневой канализации застройки в северо-восточной части Камышловского городского округа  в соответствии с планом создания инфраструктурных объектов Свердловской области на 2017-2022 годы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12900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12900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12900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12900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51600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21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Мероприятия по обеспечению перспективных нагрузок проектируемого района Восточной части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5000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22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Мероприятия по обеспечению перспективных нагрузок проектируемого района Центральной части (Урицкого)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5000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23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Мероприятия по обеспечению перспективных нагрузок проектируемого района Западной части (Энгельса)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5000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5000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Мероприятия по обеспечению перспективных нагрузок проектируемого района Северной части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10000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10000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25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Мероприятия по обеспечению перспективных нагрузок проектируемого района Южной части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10000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10000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Cs/>
                <w:color w:val="000000"/>
                <w:szCs w:val="24"/>
                <w:lang w:eastAsia="ru-RU"/>
              </w:rPr>
              <w:t>26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Строительство сливной станции вывоза ЖБО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Минимум на 2 машины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750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750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1500</w:t>
            </w:r>
          </w:p>
        </w:tc>
      </w:tr>
      <w:tr>
        <w:trPr>
          <w:trHeight w:val="20" w:hRule="atLeas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 w:val="22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b/>
                <w:color w:val="000000"/>
                <w:szCs w:val="24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Cs w:val="24"/>
                <w:lang w:eastAsia="ru-RU"/>
              </w:rPr>
            </w:pPr>
            <w:r>
              <w:rPr>
                <w:rFonts w:ascii="Liberation Serif" w:hAnsi="Liberation Serif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  <w:b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  <w:t>16808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  <w:b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  <w:t>22117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  <w:b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  <w:t>35900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  <w:b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  <w:t>38375,2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  <w:b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  <w:t>39867,5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  <w:b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  <w:t>309802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  <w:b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  <w:t>111090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68"/>
              <w:rPr>
                <w:rFonts w:ascii="Liberation Serif" w:hAnsi="Liberation Serif"/>
                <w:b/>
                <w:b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sz w:val="24"/>
                <w:szCs w:val="24"/>
              </w:rPr>
              <w:t>573959,8</w:t>
            </w:r>
          </w:p>
        </w:tc>
      </w:tr>
    </w:tbl>
    <w:p>
      <w:pPr>
        <w:sectPr>
          <w:headerReference w:type="default" r:id="rId49"/>
          <w:footerReference w:type="default" r:id="rId50"/>
          <w:footerReference w:type="first" r:id="rId51"/>
          <w:type w:val="nextPage"/>
          <w:pgSz w:orient="landscape" w:w="16838" w:h="11906"/>
          <w:pgMar w:left="1134" w:right="1134" w:header="720" w:top="720" w:footer="720" w:bottom="567" w:gutter="0"/>
          <w:pgNumType w:fmt="decimal"/>
          <w:formProt w:val="false"/>
          <w:titlePg/>
          <w:textDirection w:val="lrTb"/>
          <w:docGrid w:type="default" w:linePitch="600" w:charSpace="40960"/>
        </w:sectPr>
      </w:pPr>
    </w:p>
    <w:p>
      <w:pPr>
        <w:pStyle w:val="111"/>
        <w:numPr>
          <w:ilvl w:val="0"/>
          <w:numId w:val="0"/>
        </w:numPr>
        <w:tabs>
          <w:tab w:val="clear" w:pos="709"/>
        </w:tabs>
        <w:ind w:left="701" w:hanging="600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7. </w:t>
      </w:r>
      <w:bookmarkStart w:id="231" w:name="_Toc531704251"/>
      <w:bookmarkStart w:id="232" w:name="_Toc531598974"/>
      <w:bookmarkStart w:id="233" w:name="_Toc441658636"/>
      <w:r>
        <w:rPr>
          <w:rFonts w:ascii="Liberation Serif" w:hAnsi="Liberation Serif"/>
        </w:rPr>
        <w:t>Целевые показатели развития централизованных систем водоотведения</w:t>
      </w:r>
      <w:bookmarkEnd w:id="231"/>
      <w:bookmarkEnd w:id="232"/>
      <w:bookmarkEnd w:id="233"/>
    </w:p>
    <w:p>
      <w:pPr>
        <w:pStyle w:val="Style64"/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</w:t>
      </w:r>
    </w:p>
    <w:p>
      <w:pPr>
        <w:pStyle w:val="Style65"/>
        <w:numPr>
          <w:ilvl w:val="0"/>
          <w:numId w:val="4"/>
        </w:numPr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показатели надежности и бесперебойности водоотведения;</w:t>
      </w:r>
    </w:p>
    <w:p>
      <w:pPr>
        <w:pStyle w:val="Style65"/>
        <w:numPr>
          <w:ilvl w:val="0"/>
          <w:numId w:val="4"/>
        </w:numPr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показатели качества обслуживания абонентов;</w:t>
      </w:r>
    </w:p>
    <w:p>
      <w:pPr>
        <w:pStyle w:val="Style65"/>
        <w:numPr>
          <w:ilvl w:val="0"/>
          <w:numId w:val="4"/>
        </w:numPr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показатели качества очистки сточных вод;</w:t>
      </w:r>
    </w:p>
    <w:p>
      <w:pPr>
        <w:pStyle w:val="Style65"/>
        <w:numPr>
          <w:ilvl w:val="0"/>
          <w:numId w:val="4"/>
        </w:numPr>
        <w:rPr>
          <w:rFonts w:ascii="Liberation Serif" w:hAnsi="Liberation Serif" w:eastAsia="Calibri"/>
        </w:rPr>
      </w:pPr>
      <w:r>
        <w:rPr>
          <w:rFonts w:eastAsia="Calibri" w:ascii="Liberation Serif" w:hAnsi="Liberation Serif"/>
        </w:rPr>
        <w:t>показатели эффективности использования ресурсов при транспортировке сточных вод;</w:t>
      </w:r>
    </w:p>
    <w:p>
      <w:pPr>
        <w:pStyle w:val="23"/>
        <w:rPr/>
      </w:pPr>
      <w:r>
        <w:rPr/>
        <w:t xml:space="preserve">7.1. </w:t>
      </w:r>
      <w:bookmarkStart w:id="234" w:name="_Toc531704252"/>
      <w:bookmarkStart w:id="235" w:name="_Toc531598975"/>
      <w:bookmarkStart w:id="236" w:name="_Toc499840151"/>
      <w:bookmarkStart w:id="237" w:name="_Toc470773372"/>
      <w:bookmarkStart w:id="238" w:name="_Toc441658637"/>
      <w:bookmarkStart w:id="239" w:name="_Toc437262645"/>
      <w:bookmarkStart w:id="240" w:name="_Toc421689365"/>
      <w:bookmarkStart w:id="241" w:name="_Toc420073970"/>
      <w:bookmarkStart w:id="242" w:name="_Toc376195277"/>
      <w:bookmarkStart w:id="243" w:name="_Toc389213842"/>
      <w:bookmarkStart w:id="244" w:name="_Toc391655949"/>
      <w:bookmarkStart w:id="245" w:name="_Toc399936410"/>
      <w:r>
        <w:rPr/>
        <w:t>Показатели надежности и бесперебойности водоотведения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</w:p>
    <w:p>
      <w:pPr>
        <w:pStyle w:val="Style64"/>
        <w:rPr/>
      </w:pPr>
      <w:bookmarkStart w:id="246" w:name="_Toc399936411"/>
      <w:bookmarkStart w:id="247" w:name="_Toc391655950"/>
      <w:bookmarkStart w:id="248" w:name="_Toc389213843"/>
      <w:bookmarkStart w:id="249" w:name="_Toc376195278"/>
      <w:bookmarkStart w:id="250" w:name="_Toc420073971"/>
      <w:bookmarkStart w:id="251" w:name="_Toc421689366"/>
      <w:bookmarkStart w:id="252" w:name="_Toc437262646"/>
      <w:r>
        <w:rPr>
          <w:rStyle w:val="Style9"/>
          <w:rFonts w:ascii="Liberation Serif" w:hAnsi="Liberation Serif"/>
        </w:rPr>
        <w:t>Аварийность системы канализации и протяженность сетей водоотведения. Учитывается общее число как аварий (провалы, аварии на напорных коллекторах), так и засоры в сети. Основная доля приходится на засоры. В городах РФ этот показатель обычно колеблется в пределах 3 на км. Снижение данного показателя требует проведения ряда работ, связанных с увеличением программы перекладки сетей, изменения режима работы основных КНС. Дополнительно оптимально выполнить работы по телеинспекционному обследованию наиболее проблемных коллекторов. При выявлении контруклонов, обрушений, корневых прорастаний и иных факторов замедления скорости потока и накопления отложений требуется разработать программу первоочередной перекладки (ремонта) сетей.</w:t>
      </w:r>
      <w:bookmarkStart w:id="253" w:name="_Toc441658638"/>
      <w:bookmarkStart w:id="254" w:name="_Toc470773373"/>
    </w:p>
    <w:p>
      <w:pPr>
        <w:pStyle w:val="23"/>
        <w:rPr/>
      </w:pPr>
      <w:r>
        <w:rPr/>
        <w:t xml:space="preserve">7.2. </w:t>
      </w:r>
      <w:bookmarkStart w:id="255" w:name="_Toc531704253"/>
      <w:bookmarkStart w:id="256" w:name="_Toc531598976"/>
      <w:bookmarkStart w:id="257" w:name="_Toc499840152"/>
      <w:r>
        <w:rPr/>
        <w:t>Показатели качества обслуживания клиентов</w:t>
      </w:r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p>
      <w:pPr>
        <w:pStyle w:val="Style64"/>
        <w:tabs>
          <w:tab w:val="clear" w:pos="709"/>
          <w:tab w:val="left" w:pos="1134" w:leader="none"/>
        </w:tabs>
        <w:rPr>
          <w:rFonts w:ascii="Liberation Serif" w:hAnsi="Liberation Serif"/>
        </w:rPr>
      </w:pPr>
      <w:bookmarkStart w:id="258" w:name="_Toc399936412"/>
      <w:bookmarkStart w:id="259" w:name="_Toc391655951"/>
      <w:bookmarkStart w:id="260" w:name="_Toc389213844"/>
      <w:bookmarkStart w:id="261" w:name="_Toc376195279"/>
      <w:bookmarkStart w:id="262" w:name="_Toc420073972"/>
      <w:bookmarkStart w:id="263" w:name="_Toc421689367"/>
      <w:bookmarkStart w:id="264" w:name="_Toc437262647"/>
      <w:r>
        <w:rPr>
          <w:rFonts w:ascii="Liberation Serif" w:hAnsi="Liberation Serif"/>
        </w:rPr>
        <w:t>1. Доля потребителей с гарантированным предоставлением услуг в течение 24 часа в сутки. С учетом перспективного развития требуется перекладка ряда коллекторов, имеющих сверхнормативные линейные потери напора.</w:t>
      </w:r>
    </w:p>
    <w:p>
      <w:pPr>
        <w:pStyle w:val="Style64"/>
        <w:tabs>
          <w:tab w:val="clear" w:pos="709"/>
          <w:tab w:val="left" w:pos="1134" w:leader="none"/>
        </w:tabs>
        <w:rPr/>
      </w:pPr>
      <w:r>
        <w:rPr>
          <w:rStyle w:val="Style9"/>
          <w:rFonts w:ascii="Liberation Serif" w:hAnsi="Liberation Serif"/>
        </w:rPr>
        <w:t>2. Обеспеченность услугами централизованного водоотведения. Для увеличения показателя требуется строительство канализационных сетей, строительство и реконструкция существующих КОС.</w:t>
      </w:r>
      <w:bookmarkStart w:id="265" w:name="_Toc441658639"/>
      <w:bookmarkStart w:id="266" w:name="_Toc470773374"/>
      <w:bookmarkStart w:id="267" w:name="_Toc499840153"/>
      <w:r>
        <w:br w:type="page"/>
      </w:r>
    </w:p>
    <w:p>
      <w:pPr>
        <w:pStyle w:val="23"/>
        <w:rPr/>
      </w:pPr>
      <w:r>
        <w:rPr>
          <w:rStyle w:val="Style9"/>
          <w:rFonts w:ascii="Liberation Serif" w:hAnsi="Liberation Serif"/>
        </w:rPr>
        <w:t xml:space="preserve">7.3. </w:t>
      </w:r>
      <w:bookmarkStart w:id="268" w:name="_Toc531704254"/>
      <w:bookmarkStart w:id="269" w:name="_Toc531598977"/>
      <w:r>
        <w:rPr>
          <w:rStyle w:val="Style9"/>
          <w:rFonts w:ascii="Liberation Serif" w:hAnsi="Liberation Serif"/>
        </w:rPr>
        <w:t>Показатели качества очистки сточных вод</w:t>
      </w:r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</w:p>
    <w:p>
      <w:pPr>
        <w:pStyle w:val="Style64"/>
        <w:tabs>
          <w:tab w:val="clear" w:pos="709"/>
          <w:tab w:val="left" w:pos="1134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1. Доля проб, очищенных до нормативного уровня. В настоящее время большая часть сточных вод не соответствует согласованным нормативным требованиям очистки.</w:t>
      </w:r>
    </w:p>
    <w:p>
      <w:pPr>
        <w:pStyle w:val="Style64"/>
        <w:tabs>
          <w:tab w:val="clear" w:pos="709"/>
          <w:tab w:val="left" w:pos="1134" w:leader="none"/>
        </w:tabs>
        <w:rPr>
          <w:rFonts w:ascii="Liberation Serif" w:hAnsi="Liberation Serif"/>
        </w:rPr>
      </w:pPr>
      <w:r>
        <w:rPr>
          <w:rFonts w:ascii="Liberation Serif" w:hAnsi="Liberation Serif"/>
        </w:rPr>
        <w:t>2. Объем стоков, пропущенный через КОС. Для областных центров центральной части РФ данный показатель обычно составляет 96-99%. Следует учитывать, что часть частного сектора вообще не имеет канализации, водоотведение осуществляется в выгребы и высока вероятность незаконного тайного сброса отходов из выгребов в окружающую среду. Улучшение показателя требует строительства канализационных сетей в неканализованных населенных пунктах городского округа.</w:t>
      </w:r>
    </w:p>
    <w:p>
      <w:pPr>
        <w:pStyle w:val="23"/>
        <w:rPr/>
      </w:pPr>
      <w:r>
        <w:rPr/>
        <w:t xml:space="preserve">7.4. </w:t>
      </w:r>
      <w:bookmarkStart w:id="270" w:name="_Toc531704255"/>
      <w:bookmarkStart w:id="271" w:name="_Toc531598978"/>
      <w:bookmarkStart w:id="272" w:name="_Toc499840154"/>
      <w:bookmarkStart w:id="273" w:name="_Toc470773375"/>
      <w:bookmarkStart w:id="274" w:name="_Toc441658640"/>
      <w:bookmarkStart w:id="275" w:name="_Toc437262648"/>
      <w:bookmarkStart w:id="276" w:name="_Toc421689368"/>
      <w:bookmarkStart w:id="277" w:name="_Toc420073973"/>
      <w:bookmarkStart w:id="278" w:name="_Toc376195280"/>
      <w:bookmarkStart w:id="279" w:name="_Toc389213845"/>
      <w:bookmarkStart w:id="280" w:name="_Toc391655952"/>
      <w:bookmarkStart w:id="281" w:name="_Toc399936413"/>
      <w:r>
        <w:rPr/>
        <w:t>Показатели эффективности использования ресурсов при транспортировке сточных вод</w:t>
      </w:r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</w:p>
    <w:p>
      <w:pPr>
        <w:pStyle w:val="Style64"/>
        <w:rPr/>
      </w:pPr>
      <w:r>
        <w:rPr>
          <w:rStyle w:val="Style9"/>
          <w:rFonts w:ascii="Liberation Serif" w:hAnsi="Liberation Serif"/>
        </w:rPr>
        <w:t>Энергоемкость системы водоотведения. В целом превышает средние по РФ значения на 25-30%. Для снижения данного показателя необходимо замена насосов на более эффективные.</w:t>
      </w:r>
      <w:bookmarkStart w:id="282" w:name="_Toc399936415"/>
      <w:bookmarkStart w:id="283" w:name="_Toc391655954"/>
      <w:bookmarkStart w:id="284" w:name="_Toc389213847"/>
      <w:bookmarkStart w:id="285" w:name="_Toc420073975"/>
      <w:bookmarkStart w:id="286" w:name="_Toc421689370"/>
      <w:bookmarkStart w:id="287" w:name="_Toc437262650"/>
      <w:bookmarkStart w:id="288" w:name="_Toc441658642"/>
      <w:bookmarkStart w:id="289" w:name="_Toc470773377"/>
      <w:bookmarkStart w:id="290" w:name="_Toc499840156"/>
    </w:p>
    <w:p>
      <w:pPr>
        <w:pStyle w:val="23"/>
        <w:rPr/>
      </w:pPr>
      <w:r>
        <w:rPr/>
        <w:t xml:space="preserve">7.5. </w:t>
      </w:r>
      <w:bookmarkStart w:id="291" w:name="_Toc531704256"/>
      <w:bookmarkStart w:id="292" w:name="_Toc531598979"/>
      <w:r>
        <w:rPr/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Основными задачами ближайших пяти лет можно считать улучшение таких целевых показателей, как увеличение доли подключенных к системе центрального водоотведения, повышение энергоэффективности системы водоотведения за счет замены неэффективеного насосного оборудования и снижения энергопотребления не менее, чем на 30%, автоматизации ряда производственных процессов (в частности, КОС), обеспечение надежности и бесперебойности услуг по водоотведению (сокращение числа засоров не менее, чем на 30%). В более долгосрочной перспективе – повышение качества обслуживания за счет подключения к системе не менее 85% домовладений, дальнейшее снижение аварийности и обеспечение новых подключений.</w:t>
      </w:r>
    </w:p>
    <w:p>
      <w:pPr>
        <w:pStyle w:val="Style64"/>
        <w:rPr/>
      </w:pPr>
      <w:r>
        <w:rPr>
          <w:rStyle w:val="Style9"/>
          <w:rFonts w:ascii="Liberation Serif" w:hAnsi="Liberation Serif"/>
        </w:rPr>
        <w:t xml:space="preserve">Плановые целевые показатели приведены в таблице </w:t>
      </w:r>
      <w:r>
        <w:rPr>
          <w:rStyle w:val="Style9"/>
          <w:rFonts w:ascii="Liberation Serif" w:hAnsi="Liberation Serif"/>
        </w:rPr>
        <w:fldChar w:fldCharType="begin"/>
      </w:r>
      <w:r>
        <w:rPr>
          <w:rStyle w:val="Style9"/>
          <w:rFonts w:ascii="Liberation Serif" w:hAnsi="Liberation Serif"/>
        </w:rPr>
        <w:instrText> REF _Ref530593512 \h </w:instrText>
      </w:r>
      <w:r>
        <w:rPr>
          <w:rStyle w:val="Style9"/>
          <w:rFonts w:ascii="Liberation Serif" w:hAnsi="Liberation Serif"/>
        </w:rPr>
        <w:fldChar w:fldCharType="separate"/>
      </w:r>
      <w:r>
        <w:rPr>
          <w:rStyle w:val="Style9"/>
          <w:rFonts w:ascii="Liberation Serif" w:hAnsi="Liberation Serif"/>
        </w:rPr>
        <w:t>Таблица 19</w:t>
      </w:r>
      <w:r>
        <w:rPr>
          <w:rStyle w:val="Style9"/>
          <w:rFonts w:ascii="Liberation Serif" w:hAnsi="Liberation Serif"/>
        </w:rPr>
        <w:fldChar w:fldCharType="end"/>
      </w:r>
      <w:r>
        <w:rPr>
          <w:rStyle w:val="Style9"/>
          <w:rFonts w:ascii="Liberation Serif" w:hAnsi="Liberation Serif"/>
        </w:rPr>
        <w:t>. Планируемые целевые показатели приняты с учетом оценки технических возможностей по их достижению общепринятыми мировыми технологиями и значениями показателей, средними или выше среднего по областным центрам центральной части РФ.</w:t>
      </w:r>
      <w:r>
        <w:br w:type="page"/>
      </w:r>
    </w:p>
    <w:p>
      <w:pPr>
        <w:pStyle w:val="Style67"/>
        <w:rPr/>
      </w:pPr>
      <w:bookmarkStart w:id="293" w:name="_Ref530593512"/>
      <w:r>
        <w:rPr>
          <w:rStyle w:val="Style9"/>
          <w:rFonts w:ascii="Liberation Serif" w:hAnsi="Liberation Serif"/>
        </w:rPr>
        <w:t>Таблица 19</w:t>
      </w:r>
      <w:bookmarkEnd w:id="293"/>
      <w:r>
        <w:rPr>
          <w:rStyle w:val="Style9"/>
          <w:rFonts w:ascii="Liberation Serif" w:hAnsi="Liberation Serif"/>
        </w:rPr>
        <w:t>. Прогноз значений целевых показателей при реализации Схемы водоотведения</w:t>
      </w:r>
    </w:p>
    <w:tbl>
      <w:tblPr>
        <w:tblW w:w="10202" w:type="dxa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5"/>
        <w:gridCol w:w="2013"/>
        <w:gridCol w:w="905"/>
        <w:gridCol w:w="1097"/>
        <w:gridCol w:w="1293"/>
        <w:gridCol w:w="1133"/>
        <w:gridCol w:w="1133"/>
        <w:gridCol w:w="1133"/>
      </w:tblGrid>
      <w:tr>
        <w:trPr>
          <w:trHeight w:val="1362" w:hRule="atLeast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0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Индикаторы</w:t>
            </w:r>
          </w:p>
        </w:tc>
        <w:tc>
          <w:tcPr>
            <w:tcW w:w="9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Размерность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Базовый показатель 2013г.</w:t>
            </w:r>
          </w:p>
        </w:tc>
        <w:tc>
          <w:tcPr>
            <w:tcW w:w="12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Фактический показатель 2017г.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Показатель на 2024 год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Показатель на 2029 год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b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0"/>
                <w:szCs w:val="20"/>
                <w:lang w:eastAsia="ru-RU"/>
              </w:rPr>
              <w:t>Показатель на 2034 год</w:t>
            </w:r>
          </w:p>
        </w:tc>
      </w:tr>
      <w:tr>
        <w:trPr>
          <w:trHeight w:val="1362" w:hRule="atLeast"/>
        </w:trPr>
        <w:tc>
          <w:tcPr>
            <w:tcW w:w="14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1. Показатели качества воды</w:t>
            </w:r>
          </w:p>
        </w:tc>
        <w:tc>
          <w:tcPr>
            <w:tcW w:w="20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1. Удельный вес проб сточных вод после очистки, не соответствующим требованиям ПДК</w:t>
            </w:r>
          </w:p>
        </w:tc>
        <w:tc>
          <w:tcPr>
            <w:tcW w:w="9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9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129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>
        <w:trPr>
          <w:trHeight w:val="908" w:hRule="atLeast"/>
        </w:trPr>
        <w:tc>
          <w:tcPr>
            <w:tcW w:w="14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2. Показатели надежности и бесперебойности</w:t>
            </w:r>
          </w:p>
        </w:tc>
        <w:tc>
          <w:tcPr>
            <w:tcW w:w="20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1. Протяженность системы водоотведения</w:t>
            </w:r>
          </w:p>
        </w:tc>
        <w:tc>
          <w:tcPr>
            <w:tcW w:w="9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09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129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72,0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76,0</w:t>
            </w:r>
          </w:p>
        </w:tc>
      </w:tr>
      <w:tr>
        <w:trPr>
          <w:trHeight w:val="908" w:hRule="atLeast"/>
        </w:trPr>
        <w:tc>
          <w:tcPr>
            <w:tcW w:w="14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0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2. Количество аварий, приводящих к отключению работы системы</w:t>
            </w:r>
          </w:p>
        </w:tc>
        <w:tc>
          <w:tcPr>
            <w:tcW w:w="9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ед</w:t>
            </w:r>
          </w:p>
        </w:tc>
        <w:tc>
          <w:tcPr>
            <w:tcW w:w="109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>
        <w:trPr>
          <w:trHeight w:val="533" w:hRule="atLeast"/>
        </w:trPr>
        <w:tc>
          <w:tcPr>
            <w:tcW w:w="14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0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3. Износ водопроводных сетей</w:t>
            </w:r>
          </w:p>
        </w:tc>
        <w:tc>
          <w:tcPr>
            <w:tcW w:w="9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9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129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30,0</w:t>
            </w:r>
          </w:p>
        </w:tc>
      </w:tr>
      <w:tr>
        <w:trPr>
          <w:trHeight w:val="908" w:hRule="atLeast"/>
        </w:trPr>
        <w:tc>
          <w:tcPr>
            <w:tcW w:w="149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0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4. Количество канализационных сетей, требующих замены</w:t>
            </w:r>
          </w:p>
        </w:tc>
        <w:tc>
          <w:tcPr>
            <w:tcW w:w="9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9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129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5,0</w:t>
            </w:r>
          </w:p>
        </w:tc>
      </w:tr>
      <w:tr>
        <w:trPr>
          <w:trHeight w:val="1656" w:hRule="atLeast"/>
        </w:trPr>
        <w:tc>
          <w:tcPr>
            <w:tcW w:w="14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3. Показатели качества обслуживания</w:t>
            </w:r>
          </w:p>
        </w:tc>
        <w:tc>
          <w:tcPr>
            <w:tcW w:w="201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left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1. Обеспеченность населения централизованным водоснабжением</w:t>
            </w:r>
          </w:p>
        </w:tc>
        <w:tc>
          <w:tcPr>
            <w:tcW w:w="905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97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129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65,0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75,0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Style40"/>
              <w:spacing w:lineRule="auto" w:line="240"/>
              <w:ind w:hanging="0"/>
              <w:jc w:val="center"/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0"/>
                <w:szCs w:val="20"/>
                <w:lang w:eastAsia="ru-RU"/>
              </w:rPr>
              <w:t>80,0</w:t>
            </w:r>
          </w:p>
        </w:tc>
      </w:tr>
    </w:tbl>
    <w:p>
      <w:pPr>
        <w:pStyle w:val="111"/>
        <w:numPr>
          <w:ilvl w:val="0"/>
          <w:numId w:val="0"/>
        </w:numPr>
        <w:tabs>
          <w:tab w:val="clear" w:pos="709"/>
        </w:tabs>
        <w:ind w:left="720" w:hanging="600"/>
        <w:jc w:val="both"/>
        <w:rPr/>
      </w:pPr>
      <w:r>
        <w:rPr/>
      </w:r>
      <w:bookmarkStart w:id="294" w:name="_Toc401068011"/>
      <w:bookmarkStart w:id="295" w:name="_Toc401068011"/>
      <w:bookmarkEnd w:id="295"/>
      <w:r>
        <w:br w:type="page"/>
      </w:r>
    </w:p>
    <w:p>
      <w:pPr>
        <w:pStyle w:val="111"/>
        <w:numPr>
          <w:ilvl w:val="0"/>
          <w:numId w:val="0"/>
        </w:numPr>
        <w:tabs>
          <w:tab w:val="clear" w:pos="709"/>
        </w:tabs>
        <w:ind w:left="701" w:hanging="600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8. </w:t>
      </w:r>
      <w:bookmarkStart w:id="296" w:name="_Toc531704257"/>
      <w:bookmarkStart w:id="297" w:name="_Toc531598980"/>
      <w:r>
        <w:rPr>
          <w:rFonts w:ascii="Liberation Serif" w:hAnsi="Liberation Serif"/>
        </w:rPr>
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296"/>
      <w:bookmarkEnd w:id="297"/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Согласно ст.8 п.5 Федерального закона от 07.12.2011 г. № 416-ФЗ «О водоснабжении и водоотведении»: 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неопределенна в соответствии со статьей 12 настоящего Федерального закона), со дня подписания с органом местного самоуправления поселения, города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законодательством.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Эксплуатировать и обслуживать выявленные бесхозяйные объекты водоотведения согласно ст.8 п.5 Федерального закона от 07.12.2011 г. № 416-ФЗ «О водоснабжении и водоотведении» должна организация, которая осуществляет водоотведение и канализационные сети которой непосредственно присоединены к указанным бесхозяйным объектам со дня подписания с органом местного самоуправления передаточного акта указанных объектов до признания на такие объекты права собственности.</w:t>
      </w:r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В Камышловском городском округе в соответствии с письмом комитета по управлению имуществом и земельными ресурсами администрации Камышловского городского округа №646 от 12.11.2018 бесхозяйные объекты централизованной системы водоотведения не выявлены.</w:t>
      </w:r>
      <w:r>
        <w:br w:type="page"/>
      </w:r>
    </w:p>
    <w:p>
      <w:pPr>
        <w:pStyle w:val="111"/>
        <w:numPr>
          <w:ilvl w:val="0"/>
          <w:numId w:val="0"/>
        </w:numPr>
        <w:tabs>
          <w:tab w:val="clear" w:pos="709"/>
        </w:tabs>
        <w:spacing w:lineRule="auto" w:line="360"/>
        <w:ind w:left="701" w:hanging="600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9. </w:t>
      </w:r>
      <w:bookmarkStart w:id="298" w:name="_Toc531704258"/>
      <w:bookmarkStart w:id="299" w:name="_Toc531598981"/>
      <w:r>
        <w:rPr>
          <w:rFonts w:ascii="Liberation Serif" w:hAnsi="Liberation Serif"/>
        </w:rPr>
        <w:t>Электронное моделирование</w:t>
      </w:r>
      <w:bookmarkEnd w:id="298"/>
      <w:bookmarkEnd w:id="299"/>
    </w:p>
    <w:p>
      <w:pPr>
        <w:pStyle w:val="Style64"/>
        <w:rPr>
          <w:rFonts w:ascii="Liberation Serif" w:hAnsi="Liberation Serif"/>
        </w:rPr>
      </w:pPr>
      <w:r>
        <w:rPr>
          <w:rFonts w:ascii="Liberation Serif" w:hAnsi="Liberation Serif"/>
        </w:rPr>
        <w:t>В соответствии с пунктом 11 постановления Правительства Российской Федерации №782 от 5 сентября 2013 г. «О схемах водоснабжения и водоотведения» с актуальными изменениями, электронная   модель   систем   водоснабжения   и  (или) водоотведения  разрабатывается  для  поселений, городских округов с населением  150  тыс. человек и более. Таким образом актуализация электронной модели системы водоотведения Камышловского городского округа не является обязательной. Электронная модель представлена в Приложении 4 «Электронная модель системы водоснабжения».</w:t>
      </w:r>
    </w:p>
    <w:p>
      <w:pPr>
        <w:pStyle w:val="Style64"/>
        <w:ind w:hanging="0"/>
        <w:rPr>
          <w:rFonts w:ascii="Liberation Serif" w:hAnsi="Liberation Serif"/>
        </w:rPr>
      </w:pPr>
      <w:r>
        <w:rPr>
          <w:rFonts w:ascii="Liberation Serif" w:hAnsi="Liberation Serif"/>
        </w:rPr>
      </w:r>
      <w:bookmarkStart w:id="300" w:name="_Toc341622564"/>
      <w:bookmarkStart w:id="301" w:name="_Toc343247304"/>
      <w:bookmarkStart w:id="302" w:name="_Toc343877017"/>
      <w:bookmarkStart w:id="303" w:name="_Toc401068011"/>
      <w:bookmarkStart w:id="304" w:name="_Toc341622564"/>
      <w:bookmarkStart w:id="305" w:name="_Toc343247304"/>
      <w:bookmarkStart w:id="306" w:name="_Toc343877017"/>
      <w:bookmarkStart w:id="307" w:name="_Toc401068011"/>
      <w:bookmarkEnd w:id="304"/>
      <w:bookmarkEnd w:id="305"/>
      <w:bookmarkEnd w:id="306"/>
      <w:bookmarkEnd w:id="307"/>
    </w:p>
    <w:p>
      <w:pPr>
        <w:pStyle w:val="Style40"/>
        <w:tabs>
          <w:tab w:val="clear" w:pos="709"/>
          <w:tab w:val="left" w:pos="142" w:leader="none"/>
        </w:tabs>
        <w:rPr>
          <w:rFonts w:ascii="Liberation Serif" w:hAnsi="Liberation Serif"/>
          <w:color w:val="FF0000"/>
          <w:szCs w:val="24"/>
        </w:rPr>
      </w:pPr>
      <w:r>
        <w:rPr>
          <w:rFonts w:ascii="Liberation Serif" w:hAnsi="Liberation Serif"/>
          <w:color w:val="FF0000"/>
          <w:szCs w:val="24"/>
        </w:rPr>
      </w:r>
    </w:p>
    <w:sectPr>
      <w:headerReference w:type="default" r:id="rId52"/>
      <w:footerReference w:type="default" r:id="rId53"/>
      <w:footerReference w:type="first" r:id="rId54"/>
      <w:type w:val="nextPage"/>
      <w:pgSz w:w="11906" w:h="16838"/>
      <w:pgMar w:left="1134" w:right="567" w:header="720" w:top="720" w:footer="720" w:bottom="1134" w:gutter="0"/>
      <w:pgNumType w:fmt="decimal"/>
      <w:formProt w:val="false"/>
      <w:titlePg/>
      <w:textDirection w:val="lrTb"/>
      <w:docGrid w:type="default" w:linePitch="600" w:charSpace="4096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swiss"/>
    <w:pitch w:val="variable"/>
  </w:font>
  <w:font w:name="Courier New">
    <w:charset w:val="cc"/>
    <w:family w:val="modern"/>
    <w:pitch w:val="fixed"/>
  </w:font>
  <w:font w:name="Wingdings">
    <w:charset w:val="02"/>
    <w:family w:val="auto"/>
    <w:pitch w:val="variable"/>
  </w:font>
  <w:font w:name="Liberation Sans">
    <w:altName w:val="Arial"/>
    <w:charset w:val="cc"/>
    <w:family w:val="swiss"/>
    <w:pitch w:val="variable"/>
  </w:font>
  <w:font w:name="Arial CYR">
    <w:charset w:val="cc"/>
    <w:family w:val="swiss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jc w:val="right"/>
      <w:rPr/>
    </w:pPr>
    <w:r>
      <w:rPr>
        <w:rStyle w:val="Style9"/>
        <w:rFonts w:ascii="Times New Roman" w:hAnsi="Times New Roman"/>
      </w:rPr>
      <w:fldChar w:fldCharType="begin"/>
    </w:r>
    <w:r>
      <w:rPr>
        <w:rStyle w:val="Style9"/>
        <w:rFonts w:ascii="Times New Roman" w:hAnsi="Times New Roman"/>
      </w:rPr>
      <w:instrText> PAGE </w:instrText>
    </w:r>
    <w:r>
      <w:rPr>
        <w:rStyle w:val="Style9"/>
        <w:rFonts w:ascii="Times New Roman" w:hAnsi="Times New Roman"/>
      </w:rPr>
      <w:fldChar w:fldCharType="separate"/>
    </w:r>
    <w:r>
      <w:rPr>
        <w:rStyle w:val="Style9"/>
        <w:rFonts w:ascii="Times New Roman" w:hAnsi="Times New Roman"/>
      </w:rPr>
      <w:t>10</w:t>
    </w:r>
    <w:r>
      <w:rPr>
        <w:rStyle w:val="Style9"/>
        <w:rFonts w:ascii="Times New Roman" w:hAnsi="Times New Roman"/>
      </w:rPr>
      <w:fldChar w:fldCharType="end"/>
    </w:r>
  </w:p>
  <w:p>
    <w:pPr>
      <w:pStyle w:val="Style47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jc w:val="right"/>
      <w:rPr/>
    </w:pPr>
    <w:r>
      <w:rPr>
        <w:rStyle w:val="Style9"/>
        <w:rFonts w:ascii="Times New Roman" w:hAnsi="Times New Roman"/>
      </w:rPr>
      <w:fldChar w:fldCharType="begin"/>
    </w:r>
    <w:r>
      <w:rPr>
        <w:rStyle w:val="Style9"/>
        <w:rFonts w:ascii="Times New Roman" w:hAnsi="Times New Roman"/>
      </w:rPr>
      <w:instrText> PAGE </w:instrText>
    </w:r>
    <w:r>
      <w:rPr>
        <w:rStyle w:val="Style9"/>
        <w:rFonts w:ascii="Times New Roman" w:hAnsi="Times New Roman"/>
      </w:rPr>
      <w:fldChar w:fldCharType="separate"/>
    </w:r>
    <w:r>
      <w:rPr>
        <w:rStyle w:val="Style9"/>
        <w:rFonts w:ascii="Times New Roman" w:hAnsi="Times New Roman"/>
      </w:rPr>
      <w:t>27</w:t>
    </w:r>
    <w:r>
      <w:rPr>
        <w:rStyle w:val="Style9"/>
        <w:rFonts w:ascii="Times New Roman" w:hAnsi="Times New Roman"/>
      </w:rPr>
      <w:fldChar w:fldCharType="end"/>
    </w:r>
  </w:p>
  <w:p>
    <w:pPr>
      <w:pStyle w:val="Style47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ind w:right="360" w:hanging="0"/>
      <w:jc w:val="right"/>
      <w:rPr>
        <w:rStyle w:val="Style9"/>
        <w:lang w:eastAsia="ru-RU"/>
      </w:rPr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6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344805"/>
              <wp:effectExtent l="0" t="0" r="0" b="0"/>
              <wp:wrapSquare wrapText="bothSides"/>
              <wp:docPr id="7" name="Надпись 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34480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47"/>
                            <w:rPr/>
                          </w:pP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fldChar w:fldCharType="begin"/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instrText> PAGE </w:instrText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fldChar w:fldCharType="separate"/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t>33</w:t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rotation:0;width:1.15pt;height:27.15pt;mso-wrap-distance-left:0pt;mso-wrap-distance-right:0pt;mso-wrap-distance-top:0pt;mso-wrap-distance-bottom:0pt;margin-top:0.05pt;mso-position-vertical-relative:text;margin-left:509.1pt;mso-position-horizontal:right;mso-position-horizontal-relative:margin">
              <v:textbox inset="0in,0in,0in,0in">
                <w:txbxContent>
                  <w:p>
                    <w:pPr>
                      <w:pStyle w:val="Style47"/>
                      <w:rPr/>
                    </w:pPr>
                    <w:r>
                      <w:rPr>
                        <w:rStyle w:val="Style36"/>
                        <w:rFonts w:ascii="Times New Roman" w:hAnsi="Times New Roman"/>
                      </w:rPr>
                      <w:fldChar w:fldCharType="begin"/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instrText> PAGE </w:instrText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fldChar w:fldCharType="separate"/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t>33</w:t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Style47"/>
      <w:rPr/>
    </w:pPr>
    <w:r>
      <w:rPr/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jc w:val="right"/>
      <w:rPr/>
    </w:pPr>
    <w:r>
      <w:rPr>
        <w:rStyle w:val="Style9"/>
        <w:rFonts w:ascii="Times New Roman" w:hAnsi="Times New Roman"/>
      </w:rPr>
      <w:fldChar w:fldCharType="begin"/>
    </w:r>
    <w:r>
      <w:rPr>
        <w:rStyle w:val="Style9"/>
        <w:rFonts w:ascii="Times New Roman" w:hAnsi="Times New Roman"/>
      </w:rPr>
      <w:instrText> PAGE </w:instrText>
    </w:r>
    <w:r>
      <w:rPr>
        <w:rStyle w:val="Style9"/>
        <w:rFonts w:ascii="Times New Roman" w:hAnsi="Times New Roman"/>
      </w:rPr>
      <w:fldChar w:fldCharType="separate"/>
    </w:r>
    <w:r>
      <w:rPr>
        <w:rStyle w:val="Style9"/>
        <w:rFonts w:ascii="Times New Roman" w:hAnsi="Times New Roman"/>
      </w:rPr>
      <w:t>28</w:t>
    </w:r>
    <w:r>
      <w:rPr>
        <w:rStyle w:val="Style9"/>
        <w:rFonts w:ascii="Times New Roman" w:hAnsi="Times New Roman"/>
      </w:rPr>
      <w:fldChar w:fldCharType="end"/>
    </w:r>
  </w:p>
  <w:p>
    <w:pPr>
      <w:pStyle w:val="Style47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jc w:val="right"/>
      <w:rPr/>
    </w:pPr>
    <w:r>
      <w:rPr>
        <w:rStyle w:val="Style9"/>
        <w:rFonts w:ascii="Times New Roman" w:hAnsi="Times New Roman"/>
      </w:rPr>
      <w:fldChar w:fldCharType="begin"/>
    </w:r>
    <w:r>
      <w:rPr>
        <w:rStyle w:val="Style9"/>
        <w:rFonts w:ascii="Times New Roman" w:hAnsi="Times New Roman"/>
      </w:rPr>
      <w:instrText> PAGE </w:instrText>
    </w:r>
    <w:r>
      <w:rPr>
        <w:rStyle w:val="Style9"/>
        <w:rFonts w:ascii="Times New Roman" w:hAnsi="Times New Roman"/>
      </w:rPr>
      <w:fldChar w:fldCharType="separate"/>
    </w:r>
    <w:r>
      <w:rPr>
        <w:rStyle w:val="Style9"/>
        <w:rFonts w:ascii="Times New Roman" w:hAnsi="Times New Roman"/>
      </w:rPr>
      <w:t>34</w:t>
    </w:r>
    <w:r>
      <w:rPr>
        <w:rStyle w:val="Style9"/>
        <w:rFonts w:ascii="Times New Roman" w:hAnsi="Times New Roman"/>
      </w:rPr>
      <w:fldChar w:fldCharType="end"/>
    </w:r>
  </w:p>
  <w:p>
    <w:pPr>
      <w:pStyle w:val="Style47"/>
      <w:rPr/>
    </w:pPr>
    <w:r>
      <w:rPr/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ind w:right="360" w:hanging="0"/>
      <w:jc w:val="right"/>
      <w:rPr>
        <w:rStyle w:val="Style9"/>
        <w:lang w:eastAsia="ru-RU"/>
      </w:rPr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7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344805"/>
              <wp:effectExtent l="0" t="0" r="0" b="0"/>
              <wp:wrapSquare wrapText="bothSides"/>
              <wp:docPr id="9" name="Надпись 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34480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47"/>
                            <w:rPr/>
                          </w:pP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fldChar w:fldCharType="begin"/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instrText> PAGE </w:instrText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fldChar w:fldCharType="separate"/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t>36</w:t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rotation:0;width:1.15pt;height:27.15pt;mso-wrap-distance-left:0pt;mso-wrap-distance-right:0pt;mso-wrap-distance-top:0pt;mso-wrap-distance-bottom:0pt;margin-top:0.05pt;mso-position-vertical-relative:text;margin-left:509.1pt;mso-position-horizontal:right;mso-position-horizontal-relative:margin">
              <v:textbox inset="0in,0in,0in,0in">
                <w:txbxContent>
                  <w:p>
                    <w:pPr>
                      <w:pStyle w:val="Style47"/>
                      <w:rPr/>
                    </w:pPr>
                    <w:r>
                      <w:rPr>
                        <w:rStyle w:val="Style36"/>
                        <w:rFonts w:ascii="Times New Roman" w:hAnsi="Times New Roman"/>
                      </w:rPr>
                      <w:fldChar w:fldCharType="begin"/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instrText> PAGE </w:instrText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fldChar w:fldCharType="separate"/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t>36</w:t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Style47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jc w:val="right"/>
      <w:rPr/>
    </w:pPr>
    <w:r>
      <w:rPr>
        <w:rStyle w:val="Style9"/>
        <w:rFonts w:ascii="Times New Roman" w:hAnsi="Times New Roman"/>
      </w:rPr>
      <w:fldChar w:fldCharType="begin"/>
    </w:r>
    <w:r>
      <w:rPr>
        <w:rStyle w:val="Style9"/>
        <w:rFonts w:ascii="Times New Roman" w:hAnsi="Times New Roman"/>
      </w:rPr>
      <w:instrText> PAGE </w:instrText>
    </w:r>
    <w:r>
      <w:rPr>
        <w:rStyle w:val="Style9"/>
        <w:rFonts w:ascii="Times New Roman" w:hAnsi="Times New Roman"/>
      </w:rPr>
      <w:fldChar w:fldCharType="separate"/>
    </w:r>
    <w:r>
      <w:rPr>
        <w:rStyle w:val="Style9"/>
        <w:rFonts w:ascii="Times New Roman" w:hAnsi="Times New Roman"/>
      </w:rPr>
      <w:t>35</w:t>
    </w:r>
    <w:r>
      <w:rPr>
        <w:rStyle w:val="Style9"/>
        <w:rFonts w:ascii="Times New Roman" w:hAnsi="Times New Roman"/>
      </w:rPr>
      <w:fldChar w:fldCharType="end"/>
    </w:r>
  </w:p>
  <w:p>
    <w:pPr>
      <w:pStyle w:val="Style47"/>
      <w:rPr/>
    </w:pPr>
    <w:r>
      <w:rPr/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ind w:right="360" w:hanging="0"/>
      <w:jc w:val="right"/>
      <w:rPr>
        <w:rStyle w:val="Style9"/>
        <w:lang w:eastAsia="ru-RU"/>
      </w:rPr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1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344805"/>
              <wp:effectExtent l="0" t="0" r="0" b="0"/>
              <wp:wrapSquare wrapText="bothSides"/>
              <wp:docPr id="10" name="Надпись 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34480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47"/>
                            <w:rPr/>
                          </w:pP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fldChar w:fldCharType="begin"/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instrText> PAGE </w:instrText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fldChar w:fldCharType="separate"/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t>38</w:t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rotation:0;width:1.15pt;height:27.15pt;mso-wrap-distance-left:0pt;mso-wrap-distance-right:0pt;mso-wrap-distance-top:0pt;mso-wrap-distance-bottom:0pt;margin-top:0.05pt;mso-position-vertical-relative:text;margin-left:727.35pt;mso-position-horizontal:right;mso-position-horizontal-relative:margin">
              <v:textbox inset="0in,0in,0in,0in">
                <w:txbxContent>
                  <w:p>
                    <w:pPr>
                      <w:pStyle w:val="Style47"/>
                      <w:rPr/>
                    </w:pPr>
                    <w:r>
                      <w:rPr>
                        <w:rStyle w:val="Style36"/>
                        <w:rFonts w:ascii="Times New Roman" w:hAnsi="Times New Roman"/>
                      </w:rPr>
                      <w:fldChar w:fldCharType="begin"/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instrText> PAGE </w:instrText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fldChar w:fldCharType="separate"/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t>38</w:t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Style47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jc w:val="right"/>
      <w:rPr/>
    </w:pPr>
    <w:r>
      <w:rPr>
        <w:rStyle w:val="Style9"/>
        <w:rFonts w:ascii="Times New Roman" w:hAnsi="Times New Roman"/>
      </w:rPr>
      <w:fldChar w:fldCharType="begin"/>
    </w:r>
    <w:r>
      <w:rPr>
        <w:rStyle w:val="Style9"/>
        <w:rFonts w:ascii="Times New Roman" w:hAnsi="Times New Roman"/>
      </w:rPr>
      <w:instrText> PAGE </w:instrText>
    </w:r>
    <w:r>
      <w:rPr>
        <w:rStyle w:val="Style9"/>
        <w:rFonts w:ascii="Times New Roman" w:hAnsi="Times New Roman"/>
      </w:rPr>
      <w:fldChar w:fldCharType="separate"/>
    </w:r>
    <w:r>
      <w:rPr>
        <w:rStyle w:val="Style9"/>
        <w:rFonts w:ascii="Times New Roman" w:hAnsi="Times New Roman"/>
      </w:rPr>
      <w:t>37</w:t>
    </w:r>
    <w:r>
      <w:rPr>
        <w:rStyle w:val="Style9"/>
        <w:rFonts w:ascii="Times New Roman" w:hAnsi="Times New Roman"/>
      </w:rPr>
      <w:fldChar w:fldCharType="end"/>
    </w:r>
  </w:p>
  <w:p>
    <w:pPr>
      <w:pStyle w:val="Style47"/>
      <w:rPr/>
    </w:pPr>
    <w:r>
      <w:rPr/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ind w:right="360" w:hanging="0"/>
      <w:jc w:val="right"/>
      <w:rPr>
        <w:rStyle w:val="Style9"/>
        <w:lang w:eastAsia="ru-RU"/>
      </w:rPr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10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344805"/>
              <wp:effectExtent l="0" t="0" r="0" b="0"/>
              <wp:wrapSquare wrapText="bothSides"/>
              <wp:docPr id="11" name="Надпись 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34480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47"/>
                            <w:rPr/>
                          </w:pP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fldChar w:fldCharType="begin"/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instrText> PAGE </w:instrText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fldChar w:fldCharType="separate"/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t>42</w:t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rotation:0;width:1.15pt;height:27.15pt;mso-wrap-distance-left:0pt;mso-wrap-distance-right:0pt;mso-wrap-distance-top:0pt;mso-wrap-distance-bottom:0pt;margin-top:0.05pt;mso-position-vertical-relative:text;margin-left:509.1pt;mso-position-horizontal:right;mso-position-horizontal-relative:margin">
              <v:textbox inset="0in,0in,0in,0in">
                <w:txbxContent>
                  <w:p>
                    <w:pPr>
                      <w:pStyle w:val="Style47"/>
                      <w:rPr/>
                    </w:pPr>
                    <w:r>
                      <w:rPr>
                        <w:rStyle w:val="Style36"/>
                        <w:rFonts w:ascii="Times New Roman" w:hAnsi="Times New Roman"/>
                      </w:rPr>
                      <w:fldChar w:fldCharType="begin"/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instrText> PAGE </w:instrText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fldChar w:fldCharType="separate"/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t>42</w:t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Style47"/>
      <w:rPr/>
    </w:pPr>
    <w:r>
      <w:rPr/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jc w:val="right"/>
      <w:rPr/>
    </w:pPr>
    <w:r>
      <w:rPr>
        <w:rStyle w:val="Style9"/>
        <w:rFonts w:ascii="Times New Roman" w:hAnsi="Times New Roman"/>
      </w:rPr>
      <w:fldChar w:fldCharType="begin"/>
    </w:r>
    <w:r>
      <w:rPr>
        <w:rStyle w:val="Style9"/>
        <w:rFonts w:ascii="Times New Roman" w:hAnsi="Times New Roman"/>
      </w:rPr>
      <w:instrText> PAGE </w:instrText>
    </w:r>
    <w:r>
      <w:rPr>
        <w:rStyle w:val="Style9"/>
        <w:rFonts w:ascii="Times New Roman" w:hAnsi="Times New Roman"/>
      </w:rPr>
      <w:fldChar w:fldCharType="separate"/>
    </w:r>
    <w:r>
      <w:rPr>
        <w:rStyle w:val="Style9"/>
        <w:rFonts w:ascii="Times New Roman" w:hAnsi="Times New Roman"/>
      </w:rPr>
      <w:t>39</w:t>
    </w:r>
    <w:r>
      <w:rPr>
        <w:rStyle w:val="Style9"/>
        <w:rFonts w:ascii="Times New Roman" w:hAnsi="Times New Roman"/>
      </w:rPr>
      <w:fldChar w:fldCharType="end"/>
    </w:r>
  </w:p>
  <w:p>
    <w:pPr>
      <w:pStyle w:val="Style47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jc w:val="right"/>
      <w:rPr/>
    </w:pPr>
    <w:r>
      <w:rPr>
        <w:rStyle w:val="Style9"/>
        <w:rFonts w:ascii="Times New Roman" w:hAnsi="Times New Roman"/>
      </w:rPr>
      <w:fldChar w:fldCharType="begin"/>
    </w:r>
    <w:r>
      <w:rPr>
        <w:rStyle w:val="Style9"/>
        <w:rFonts w:ascii="Times New Roman" w:hAnsi="Times New Roman"/>
      </w:rPr>
      <w:instrText> PAGE </w:instrText>
    </w:r>
    <w:r>
      <w:rPr>
        <w:rStyle w:val="Style9"/>
        <w:rFonts w:ascii="Times New Roman" w:hAnsi="Times New Roman"/>
      </w:rPr>
      <w:fldChar w:fldCharType="separate"/>
    </w:r>
    <w:r>
      <w:rPr>
        <w:rStyle w:val="Style9"/>
        <w:rFonts w:ascii="Times New Roman" w:hAnsi="Times New Roman"/>
      </w:rPr>
      <w:t>14</w:t>
    </w:r>
    <w:r>
      <w:rPr>
        <w:rStyle w:val="Style9"/>
        <w:rFonts w:ascii="Times New Roman" w:hAnsi="Times New Roman"/>
      </w:rPr>
      <w:fldChar w:fldCharType="end"/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ind w:right="360" w:hanging="0"/>
      <w:jc w:val="right"/>
      <w:rPr>
        <w:rStyle w:val="Style9"/>
        <w:lang w:eastAsia="ru-RU"/>
      </w:rPr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12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344805"/>
              <wp:effectExtent l="0" t="0" r="0" b="0"/>
              <wp:wrapSquare wrapText="bothSides"/>
              <wp:docPr id="12" name="Надпись 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34480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47"/>
                            <w:rPr/>
                          </w:pP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fldChar w:fldCharType="begin"/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instrText> PAGE </w:instrText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fldChar w:fldCharType="separate"/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t>44</w:t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rotation:0;width:1.15pt;height:27.15pt;mso-wrap-distance-left:0pt;mso-wrap-distance-right:0pt;mso-wrap-distance-top:0pt;mso-wrap-distance-bottom:0pt;margin-top:0.05pt;mso-position-vertical-relative:text;margin-left:727.35pt;mso-position-horizontal:right;mso-position-horizontal-relative:margin">
              <v:textbox inset="0in,0in,0in,0in">
                <w:txbxContent>
                  <w:p>
                    <w:pPr>
                      <w:pStyle w:val="Style47"/>
                      <w:rPr/>
                    </w:pPr>
                    <w:r>
                      <w:rPr>
                        <w:rStyle w:val="Style36"/>
                        <w:rFonts w:ascii="Times New Roman" w:hAnsi="Times New Roman"/>
                      </w:rPr>
                      <w:fldChar w:fldCharType="begin"/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instrText> PAGE </w:instrText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fldChar w:fldCharType="separate"/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t>44</w:t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Style47"/>
      <w:rPr/>
    </w:pPr>
    <w:r>
      <w:rPr/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jc w:val="right"/>
      <w:rPr/>
    </w:pPr>
    <w:r>
      <w:rPr>
        <w:rStyle w:val="Style9"/>
        <w:rFonts w:ascii="Times New Roman" w:hAnsi="Times New Roman"/>
      </w:rPr>
      <w:fldChar w:fldCharType="begin"/>
    </w:r>
    <w:r>
      <w:rPr>
        <w:rStyle w:val="Style9"/>
        <w:rFonts w:ascii="Times New Roman" w:hAnsi="Times New Roman"/>
      </w:rPr>
      <w:instrText> PAGE </w:instrText>
    </w:r>
    <w:r>
      <w:rPr>
        <w:rStyle w:val="Style9"/>
        <w:rFonts w:ascii="Times New Roman" w:hAnsi="Times New Roman"/>
      </w:rPr>
      <w:fldChar w:fldCharType="separate"/>
    </w:r>
    <w:r>
      <w:rPr>
        <w:rStyle w:val="Style9"/>
        <w:rFonts w:ascii="Times New Roman" w:hAnsi="Times New Roman"/>
      </w:rPr>
      <w:t>43</w:t>
    </w:r>
    <w:r>
      <w:rPr>
        <w:rStyle w:val="Style9"/>
        <w:rFonts w:ascii="Times New Roman" w:hAnsi="Times New Roman"/>
      </w:rPr>
      <w:fldChar w:fldCharType="end"/>
    </w:r>
  </w:p>
  <w:p>
    <w:pPr>
      <w:pStyle w:val="Style47"/>
      <w:rPr/>
    </w:pPr>
    <w:r>
      <w:rPr/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ind w:right="360" w:hanging="0"/>
      <w:jc w:val="right"/>
      <w:rPr>
        <w:rStyle w:val="Style9"/>
        <w:lang w:eastAsia="ru-RU"/>
      </w:rPr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37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344805"/>
              <wp:effectExtent l="0" t="0" r="0" b="0"/>
              <wp:wrapSquare wrapText="bothSides"/>
              <wp:docPr id="13" name="Надпись 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34480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47"/>
                            <w:rPr/>
                          </w:pP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t>65</w:t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rotation:0;width:1.15pt;height:27.15pt;mso-wrap-distance-left:0pt;mso-wrap-distance-right:0pt;mso-wrap-distance-top:0pt;mso-wrap-distance-bottom:0pt;margin-top:0.05pt;mso-position-vertical-relative:text;margin-left:509.1pt;mso-position-horizontal:right;mso-position-horizontal-relative:margin">
              <v:textbox inset="0in,0in,0in,0in">
                <w:txbxContent>
                  <w:p>
                    <w:pPr>
                      <w:pStyle w:val="Style47"/>
                      <w:rPr/>
                    </w:pPr>
                    <w:r>
                      <w:rPr>
                        <w:rStyle w:val="Style36"/>
                        <w:rFonts w:ascii="Times New Roman" w:hAnsi="Times New Roman"/>
                      </w:rPr>
                      <w:t>65</w:t>
                    </w:r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Style47"/>
      <w:rPr/>
    </w:pPr>
    <w:r>
      <w:rPr/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jc w:val="right"/>
      <w:rPr/>
    </w:pPr>
    <w:r>
      <w:rPr>
        <w:rStyle w:val="Style9"/>
        <w:rFonts w:ascii="Times New Roman" w:hAnsi="Times New Roman"/>
      </w:rPr>
      <w:t>65</w:t>
    </w:r>
  </w:p>
  <w:p>
    <w:pPr>
      <w:pStyle w:val="Style47"/>
      <w:rPr/>
    </w:pPr>
    <w:r>
      <w:rPr/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jc w:val="right"/>
      <w:rPr/>
    </w:pPr>
    <w:r>
      <w:rPr>
        <w:rStyle w:val="Style9"/>
        <w:rFonts w:ascii="Times New Roman" w:hAnsi="Times New Roman"/>
      </w:rPr>
      <w:t>64</w:t>
    </w:r>
  </w:p>
  <w:p>
    <w:pPr>
      <w:pStyle w:val="Style47"/>
      <w:rPr/>
    </w:pPr>
    <w:r>
      <w:rPr/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jc w:val="right"/>
      <w:rPr/>
    </w:pPr>
    <w:r>
      <w:rPr>
        <w:rStyle w:val="Style9"/>
        <w:rFonts w:ascii="Times New Roman" w:hAnsi="Times New Roman"/>
      </w:rPr>
      <w:fldChar w:fldCharType="begin"/>
    </w:r>
    <w:r>
      <w:rPr>
        <w:rStyle w:val="Style9"/>
        <w:rFonts w:ascii="Times New Roman" w:hAnsi="Times New Roman"/>
      </w:rPr>
      <w:instrText> PAGE </w:instrText>
    </w:r>
    <w:r>
      <w:rPr>
        <w:rStyle w:val="Style9"/>
        <w:rFonts w:ascii="Times New Roman" w:hAnsi="Times New Roman"/>
      </w:rPr>
      <w:fldChar w:fldCharType="separate"/>
    </w:r>
    <w:r>
      <w:rPr>
        <w:rStyle w:val="Style9"/>
        <w:rFonts w:ascii="Times New Roman" w:hAnsi="Times New Roman"/>
      </w:rPr>
      <w:t>65</w:t>
    </w:r>
    <w:r>
      <w:rPr>
        <w:rStyle w:val="Style9"/>
        <w:rFonts w:ascii="Times New Roman" w:hAnsi="Times New Roman"/>
      </w:rPr>
      <w:fldChar w:fldCharType="end"/>
    </w:r>
  </w:p>
  <w:p>
    <w:pPr>
      <w:pStyle w:val="Style47"/>
      <w:rPr/>
    </w:pPr>
    <w:r>
      <w:rPr/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ind w:right="360" w:hanging="0"/>
      <w:jc w:val="right"/>
      <w:rPr>
        <w:rStyle w:val="Style9"/>
        <w:lang w:eastAsia="ru-RU"/>
      </w:rPr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14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344805"/>
              <wp:effectExtent l="0" t="0" r="0" b="0"/>
              <wp:wrapSquare wrapText="bothSides"/>
              <wp:docPr id="14" name="Надпись 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34480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47"/>
                            <w:rPr/>
                          </w:pP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fldChar w:fldCharType="begin"/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instrText> PAGE </w:instrText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fldChar w:fldCharType="separate"/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t>68</w:t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rotation:0;width:1.15pt;height:27.15pt;mso-wrap-distance-left:0pt;mso-wrap-distance-right:0pt;mso-wrap-distance-top:0pt;mso-wrap-distance-bottom:0pt;margin-top:0.05pt;mso-position-vertical-relative:text;margin-left:727.35pt;mso-position-horizontal:right;mso-position-horizontal-relative:margin">
              <v:textbox inset="0in,0in,0in,0in">
                <w:txbxContent>
                  <w:p>
                    <w:pPr>
                      <w:pStyle w:val="Style47"/>
                      <w:rPr/>
                    </w:pPr>
                    <w:r>
                      <w:rPr>
                        <w:rStyle w:val="Style36"/>
                        <w:rFonts w:ascii="Times New Roman" w:hAnsi="Times New Roman"/>
                      </w:rPr>
                      <w:fldChar w:fldCharType="begin"/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instrText> PAGE </w:instrText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fldChar w:fldCharType="separate"/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t>68</w:t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Style47"/>
      <w:rPr/>
    </w:pPr>
    <w:r>
      <w:rPr/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jc w:val="right"/>
      <w:rPr/>
    </w:pPr>
    <w:r>
      <w:rPr>
        <w:rStyle w:val="Style9"/>
        <w:rFonts w:ascii="Times New Roman" w:hAnsi="Times New Roman"/>
      </w:rPr>
      <w:fldChar w:fldCharType="begin"/>
    </w:r>
    <w:r>
      <w:rPr>
        <w:rStyle w:val="Style9"/>
        <w:rFonts w:ascii="Times New Roman" w:hAnsi="Times New Roman"/>
      </w:rPr>
      <w:instrText> PAGE </w:instrText>
    </w:r>
    <w:r>
      <w:rPr>
        <w:rStyle w:val="Style9"/>
        <w:rFonts w:ascii="Times New Roman" w:hAnsi="Times New Roman"/>
      </w:rPr>
      <w:fldChar w:fldCharType="separate"/>
    </w:r>
    <w:r>
      <w:rPr>
        <w:rStyle w:val="Style9"/>
        <w:rFonts w:ascii="Times New Roman" w:hAnsi="Times New Roman"/>
      </w:rPr>
      <w:t>66</w:t>
    </w:r>
    <w:r>
      <w:rPr>
        <w:rStyle w:val="Style9"/>
        <w:rFonts w:ascii="Times New Roman" w:hAnsi="Times New Roman"/>
      </w:rPr>
      <w:fldChar w:fldCharType="end"/>
    </w:r>
  </w:p>
  <w:p>
    <w:pPr>
      <w:pStyle w:val="Style47"/>
      <w:rPr/>
    </w:pPr>
    <w:r>
      <w:rPr/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ind w:right="360" w:hanging="0"/>
      <w:jc w:val="right"/>
      <w:rPr>
        <w:rStyle w:val="Style9"/>
        <w:lang w:eastAsia="ru-RU"/>
      </w:rPr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18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344805"/>
              <wp:effectExtent l="0" t="0" r="0" b="0"/>
              <wp:wrapSquare wrapText="bothSides"/>
              <wp:docPr id="15" name="Надпись 1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34480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47"/>
                            <w:rPr/>
                          </w:pP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fldChar w:fldCharType="begin"/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instrText> PAGE </w:instrText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fldChar w:fldCharType="separate"/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t>73</w:t>
                          </w:r>
                          <w:r>
                            <w:rPr>
                              <w:rStyle w:val="Style36"/>
                              <w:rFonts w:ascii="Times New Roman" w:hAnsi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rotation:0;width:1.15pt;height:27.15pt;mso-wrap-distance-left:0pt;mso-wrap-distance-right:0pt;mso-wrap-distance-top:0pt;mso-wrap-distance-bottom:0pt;margin-top:0.05pt;mso-position-vertical-relative:text;margin-left:509.1pt;mso-position-horizontal:right;mso-position-horizontal-relative:margin">
              <v:textbox inset="0in,0in,0in,0in">
                <w:txbxContent>
                  <w:p>
                    <w:pPr>
                      <w:pStyle w:val="Style47"/>
                      <w:rPr/>
                    </w:pPr>
                    <w:r>
                      <w:rPr>
                        <w:rStyle w:val="Style36"/>
                        <w:rFonts w:ascii="Times New Roman" w:hAnsi="Times New Roman"/>
                      </w:rPr>
                      <w:fldChar w:fldCharType="begin"/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instrText> PAGE </w:instrText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fldChar w:fldCharType="separate"/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t>73</w:t>
                    </w:r>
                    <w:r>
                      <w:rPr>
                        <w:rStyle w:val="Style36"/>
                        <w:rFonts w:ascii="Times New Roman" w:hAnsi="Times New Roman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Style47"/>
      <w:rPr/>
    </w:pPr>
    <w:r>
      <w:rPr/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jc w:val="right"/>
      <w:rPr/>
    </w:pPr>
    <w:r>
      <w:rPr>
        <w:rStyle w:val="Style9"/>
        <w:rFonts w:ascii="Times New Roman" w:hAnsi="Times New Roman"/>
      </w:rPr>
      <w:fldChar w:fldCharType="begin"/>
    </w:r>
    <w:r>
      <w:rPr>
        <w:rStyle w:val="Style9"/>
        <w:rFonts w:ascii="Times New Roman" w:hAnsi="Times New Roman"/>
      </w:rPr>
      <w:instrText> PAGE </w:instrText>
    </w:r>
    <w:r>
      <w:rPr>
        <w:rStyle w:val="Style9"/>
        <w:rFonts w:ascii="Times New Roman" w:hAnsi="Times New Roman"/>
      </w:rPr>
      <w:fldChar w:fldCharType="separate"/>
    </w:r>
    <w:r>
      <w:rPr>
        <w:rStyle w:val="Style9"/>
        <w:rFonts w:ascii="Times New Roman" w:hAnsi="Times New Roman"/>
      </w:rPr>
      <w:t>69</w:t>
    </w:r>
    <w:r>
      <w:rPr>
        <w:rStyle w:val="Style9"/>
        <w:rFonts w:ascii="Times New Roman" w:hAnsi="Times New Roman"/>
      </w:rPr>
      <w:fldChar w:fldCharType="end"/>
    </w:r>
  </w:p>
  <w:p>
    <w:pPr>
      <w:pStyle w:val="Style47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jc w:val="right"/>
      <w:rPr/>
    </w:pPr>
    <w:r>
      <w:rPr>
        <w:rStyle w:val="Style9"/>
        <w:rFonts w:ascii="Times New Roman" w:hAnsi="Times New Roman"/>
      </w:rPr>
      <w:fldChar w:fldCharType="begin"/>
    </w:r>
    <w:r>
      <w:rPr>
        <w:rStyle w:val="Style9"/>
        <w:rFonts w:ascii="Times New Roman" w:hAnsi="Times New Roman"/>
      </w:rPr>
      <w:instrText> PAGE </w:instrText>
    </w:r>
    <w:r>
      <w:rPr>
        <w:rStyle w:val="Style9"/>
        <w:rFonts w:ascii="Times New Roman" w:hAnsi="Times New Roman"/>
      </w:rPr>
      <w:fldChar w:fldCharType="separate"/>
    </w:r>
    <w:r>
      <w:rPr>
        <w:rStyle w:val="Style9"/>
        <w:rFonts w:ascii="Times New Roman" w:hAnsi="Times New Roman"/>
      </w:rPr>
      <w:t>11</w:t>
    </w:r>
    <w:r>
      <w:rPr>
        <w:rStyle w:val="Style9"/>
        <w:rFonts w:ascii="Times New Roman" w:hAnsi="Times New Roman"/>
      </w:rPr>
      <w:fldChar w:fldCharType="end"/>
    </w:r>
  </w:p>
  <w:p>
    <w:pPr>
      <w:pStyle w:val="Style47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jc w:val="right"/>
      <w:rPr/>
    </w:pPr>
    <w:r>
      <w:rPr>
        <w:rStyle w:val="Style9"/>
        <w:rFonts w:ascii="Times New Roman" w:hAnsi="Times New Roman"/>
      </w:rPr>
      <w:fldChar w:fldCharType="begin"/>
    </w:r>
    <w:r>
      <w:rPr>
        <w:rStyle w:val="Style9"/>
        <w:rFonts w:ascii="Times New Roman" w:hAnsi="Times New Roman"/>
      </w:rPr>
      <w:instrText> PAGE </w:instrText>
    </w:r>
    <w:r>
      <w:rPr>
        <w:rStyle w:val="Style9"/>
        <w:rFonts w:ascii="Times New Roman" w:hAnsi="Times New Roman"/>
      </w:rPr>
      <w:fldChar w:fldCharType="separate"/>
    </w:r>
    <w:r>
      <w:rPr>
        <w:rStyle w:val="Style9"/>
        <w:rFonts w:ascii="Times New Roman" w:hAnsi="Times New Roman"/>
      </w:rPr>
      <w:t>15</w:t>
    </w:r>
    <w:r>
      <w:rPr>
        <w:rStyle w:val="Style9"/>
        <w:rFonts w:ascii="Times New Roman" w:hAnsi="Times New Roman"/>
      </w:rPr>
      <w:fldChar w:fldCharType="end"/>
    </w:r>
  </w:p>
  <w:p>
    <w:pPr>
      <w:pStyle w:val="Style47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jc w:val="right"/>
      <w:rPr/>
    </w:pPr>
    <w:r>
      <w:rPr>
        <w:rStyle w:val="Style9"/>
        <w:rFonts w:ascii="Times New Roman" w:hAnsi="Times New Roman"/>
      </w:rPr>
      <w:fldChar w:fldCharType="begin"/>
    </w:r>
    <w:r>
      <w:rPr>
        <w:rStyle w:val="Style9"/>
        <w:rFonts w:ascii="Times New Roman" w:hAnsi="Times New Roman"/>
      </w:rPr>
      <w:instrText> PAGE </w:instrText>
    </w:r>
    <w:r>
      <w:rPr>
        <w:rStyle w:val="Style9"/>
        <w:rFonts w:ascii="Times New Roman" w:hAnsi="Times New Roman"/>
      </w:rPr>
      <w:fldChar w:fldCharType="separate"/>
    </w:r>
    <w:r>
      <w:rPr>
        <w:rStyle w:val="Style9"/>
        <w:rFonts w:ascii="Times New Roman" w:hAnsi="Times New Roman"/>
      </w:rPr>
      <w:t>17</w:t>
    </w:r>
    <w:r>
      <w:rPr>
        <w:rStyle w:val="Style9"/>
        <w:rFonts w:ascii="Times New Roman" w:hAnsi="Times New Roman"/>
      </w:rPr>
      <w:fldChar w:fldCharType="end"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jc w:val="right"/>
      <w:rPr/>
    </w:pPr>
    <w:r>
      <w:rPr>
        <w:rStyle w:val="Style9"/>
        <w:rFonts w:ascii="Times New Roman" w:hAnsi="Times New Roman"/>
      </w:rPr>
      <w:fldChar w:fldCharType="begin"/>
    </w:r>
    <w:r>
      <w:rPr>
        <w:rStyle w:val="Style9"/>
        <w:rFonts w:ascii="Times New Roman" w:hAnsi="Times New Roman"/>
      </w:rPr>
      <w:instrText> PAGE </w:instrText>
    </w:r>
    <w:r>
      <w:rPr>
        <w:rStyle w:val="Style9"/>
        <w:rFonts w:ascii="Times New Roman" w:hAnsi="Times New Roman"/>
      </w:rPr>
      <w:fldChar w:fldCharType="separate"/>
    </w:r>
    <w:r>
      <w:rPr>
        <w:rStyle w:val="Style9"/>
        <w:rFonts w:ascii="Times New Roman" w:hAnsi="Times New Roman"/>
      </w:rPr>
      <w:t>16</w:t>
    </w:r>
    <w:r>
      <w:rPr>
        <w:rStyle w:val="Style9"/>
        <w:rFonts w:ascii="Times New Roman" w:hAnsi="Times New Roman"/>
      </w:rPr>
      <w:fldChar w:fldCharType="end"/>
    </w:r>
  </w:p>
  <w:p>
    <w:pPr>
      <w:pStyle w:val="Style47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jc w:val="right"/>
      <w:rPr/>
    </w:pPr>
    <w:r>
      <w:rPr>
        <w:rStyle w:val="Style9"/>
        <w:rFonts w:ascii="Times New Roman" w:hAnsi="Times New Roman"/>
      </w:rPr>
      <w:fldChar w:fldCharType="begin"/>
    </w:r>
    <w:r>
      <w:rPr>
        <w:rStyle w:val="Style9"/>
        <w:rFonts w:ascii="Times New Roman" w:hAnsi="Times New Roman"/>
      </w:rPr>
      <w:instrText> PAGE </w:instrText>
    </w:r>
    <w:r>
      <w:rPr>
        <w:rStyle w:val="Style9"/>
        <w:rFonts w:ascii="Times New Roman" w:hAnsi="Times New Roman"/>
      </w:rPr>
      <w:fldChar w:fldCharType="separate"/>
    </w:r>
    <w:r>
      <w:rPr>
        <w:rStyle w:val="Style9"/>
        <w:rFonts w:ascii="Times New Roman" w:hAnsi="Times New Roman"/>
      </w:rPr>
      <w:t>18</w:t>
    </w:r>
    <w:r>
      <w:rPr>
        <w:rStyle w:val="Style9"/>
        <w:rFonts w:ascii="Times New Roman" w:hAnsi="Times New Roman"/>
      </w:rPr>
      <w:fldChar w:fldCharType="end"/>
    </w:r>
  </w:p>
  <w:p>
    <w:pPr>
      <w:pStyle w:val="Style47"/>
      <w:rPr/>
    </w:pPr>
    <w:r>
      <w:rPr/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jc w:val="right"/>
      <w:rPr/>
    </w:pPr>
    <w:r>
      <w:rPr>
        <w:rStyle w:val="Style9"/>
        <w:rFonts w:ascii="Times New Roman" w:hAnsi="Times New Roman"/>
      </w:rPr>
      <w:fldChar w:fldCharType="begin"/>
    </w:r>
    <w:r>
      <w:rPr>
        <w:rStyle w:val="Style9"/>
        <w:rFonts w:ascii="Times New Roman" w:hAnsi="Times New Roman"/>
      </w:rPr>
      <w:instrText> PAGE </w:instrText>
    </w:r>
    <w:r>
      <w:rPr>
        <w:rStyle w:val="Style9"/>
        <w:rFonts w:ascii="Times New Roman" w:hAnsi="Times New Roman"/>
      </w:rPr>
      <w:fldChar w:fldCharType="separate"/>
    </w:r>
    <w:r>
      <w:rPr>
        <w:rStyle w:val="Style9"/>
        <w:rFonts w:ascii="Times New Roman" w:hAnsi="Times New Roman"/>
      </w:rPr>
      <w:t>26</w:t>
    </w:r>
    <w:r>
      <w:rPr>
        <w:rStyle w:val="Style9"/>
        <w:rFonts w:ascii="Times New Roman" w:hAnsi="Times New Roman"/>
      </w:rPr>
      <w:fldChar w:fldCharType="end"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7"/>
      <w:jc w:val="right"/>
      <w:rPr/>
    </w:pPr>
    <w:r>
      <w:rPr>
        <w:rStyle w:val="Style9"/>
        <w:rFonts w:ascii="Times New Roman" w:hAnsi="Times New Roman"/>
      </w:rPr>
      <w:fldChar w:fldCharType="begin"/>
    </w:r>
    <w:r>
      <w:rPr>
        <w:rStyle w:val="Style9"/>
        <w:rFonts w:ascii="Times New Roman" w:hAnsi="Times New Roman"/>
      </w:rPr>
      <w:instrText> PAGE </w:instrText>
    </w:r>
    <w:r>
      <w:rPr>
        <w:rStyle w:val="Style9"/>
        <w:rFonts w:ascii="Times New Roman" w:hAnsi="Times New Roman"/>
      </w:rPr>
      <w:fldChar w:fldCharType="separate"/>
    </w:r>
    <w:r>
      <w:rPr>
        <w:rStyle w:val="Style9"/>
        <w:rFonts w:ascii="Times New Roman" w:hAnsi="Times New Roman"/>
      </w:rPr>
      <w:t>19</w:t>
    </w:r>
    <w:r>
      <w:rPr>
        <w:rStyle w:val="Style9"/>
        <w:rFonts w:ascii="Times New Roman" w:hAnsi="Times New Roman"/>
      </w:rPr>
      <w:fldChar w:fldCharType="end"/>
    </w:r>
  </w:p>
  <w:p>
    <w:pPr>
      <w:pStyle w:val="Style47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6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9</w:t>
    </w:r>
    <w:r>
      <w:rPr/>
      <w:fldChar w:fldCharType="end"/>
    </w:r>
  </w:p>
  <w:p>
    <w:pPr>
      <w:pStyle w:val="Style46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6"/>
      <w:jc w:val="center"/>
      <w:rPr/>
    </w:pPr>
    <w:r>
      <w:rPr>
        <w:rStyle w:val="Style36"/>
      </w:rPr>
      <w:tab/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6"/>
      <w:jc w:val="center"/>
      <w:rPr/>
    </w:pPr>
    <w:r>
      <w:rPr>
        <w:rStyle w:val="Style36"/>
      </w:rPr>
      <w:tab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6"/>
      <w:jc w:val="center"/>
      <w:rPr/>
    </w:pPr>
    <w:r>
      <w:rPr>
        <w:rStyle w:val="Style36"/>
      </w:rPr>
      <w:tab/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6"/>
      <w:jc w:val="center"/>
      <w:rPr/>
    </w:pPr>
    <w:r>
      <w:rPr>
        <w:rStyle w:val="Style36"/>
      </w:rPr>
      <w:tab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6"/>
      <w:jc w:val="center"/>
      <w:rPr/>
    </w:pPr>
    <w:r>
      <w:rPr>
        <w:rStyle w:val="Style36"/>
      </w:rPr>
      <w:tab/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6"/>
      <w:jc w:val="center"/>
      <w:rPr/>
    </w:pPr>
    <w:r>
      <w:rPr>
        <w:rStyle w:val="Style36"/>
      </w:rPr>
      <w:tab/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6"/>
      <w:jc w:val="center"/>
      <w:rPr/>
    </w:pPr>
    <w:r>
      <w:rPr>
        <w:rStyle w:val="Style36"/>
      </w:rPr>
      <w:tab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6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10</w:t>
    </w:r>
    <w:r>
      <w:rPr/>
      <w:fldChar w:fldCharType="end"/>
    </w:r>
  </w:p>
  <w:p>
    <w:pPr>
      <w:pStyle w:val="Style46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6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14</w:t>
    </w:r>
    <w:r>
      <w:rPr/>
      <w:fldChar w:fldCharType="end"/>
    </w:r>
  </w:p>
  <w:p>
    <w:pPr>
      <w:pStyle w:val="Style46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6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17</w:t>
    </w:r>
    <w:r>
      <w:rPr/>
      <w:fldChar w:fldCharType="end"/>
    </w:r>
  </w:p>
  <w:p>
    <w:pPr>
      <w:pStyle w:val="Style46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6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26</w:t>
    </w:r>
    <w:r>
      <w:rPr/>
      <w:fldChar w:fldCharType="end"/>
    </w:r>
  </w:p>
  <w:p>
    <w:pPr>
      <w:pStyle w:val="Style46"/>
      <w:rPr/>
    </w:pPr>
    <w:r>
      <w:rPr/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/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6"/>
      <w:jc w:val="center"/>
      <w:rPr/>
    </w:pPr>
    <w:r>
      <w:rPr>
        <w:rStyle w:val="Style36"/>
      </w:rPr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Maximyz1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23"/>
      <w:numFmt w:val="decimal"/>
      <w:lvlText w:val="%2."/>
      <w:lvlJc w:val="left"/>
      <w:pPr>
        <w:ind w:left="101" w:hanging="838"/>
      </w:pPr>
      <w:rPr>
        <w:sz w:val="26"/>
        <w:b/>
        <w:szCs w:val="26"/>
        <w:bCs/>
        <w:w w:val="99"/>
        <w:rFonts w:ascii="Times New Roman" w:hAnsi="Times New Roman" w:eastAsia="Times New Roman"/>
      </w:rPr>
    </w:lvl>
    <w:lvl w:ilvl="2">
      <w:start w:val="1"/>
      <w:pStyle w:val="3"/>
      <w:numFmt w:val="none"/>
      <w:suff w:val="nothing"/>
      <w:lvlText w:val=""/>
      <w:lvlJc w:val="left"/>
      <w:pPr>
        <w:ind w:left="0" w:hanging="0"/>
      </w:pPr>
    </w:lvl>
    <w:lvl w:ilvl="3">
      <w:start w:val="1"/>
      <w:pStyle w:val="4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pStyle w:val="7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"/>
      <w:lvlJc w:val="left"/>
      <w:pPr>
        <w:ind w:left="1135" w:hanging="0"/>
      </w:pPr>
      <w:rPr>
        <w:rFonts w:ascii="Wingdings" w:hAnsi="Wingdings" w:cs="Wingdings" w:hint="default"/>
      </w:rPr>
    </w:lvl>
    <w:lvl w:ilvl="1">
      <w:start w:val="1"/>
      <w:numFmt w:val="bullet"/>
      <w:lvlText w:val=""/>
      <w:lvlJc w:val="left"/>
      <w:pPr>
        <w:ind w:left="964" w:hanging="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361" w:hanging="0"/>
      </w:pPr>
      <w:rPr>
        <w:rFonts w:ascii="Symbol" w:hAnsi="Symbol" w:cs="Symbol" w:hint="default"/>
      </w:rPr>
    </w:lvl>
    <w:lvl w:ilvl="3">
      <w:start w:val="1"/>
      <w:numFmt w:val="bullet"/>
      <w:lvlText w:val="–"/>
      <w:lvlJc w:val="left"/>
      <w:pPr>
        <w:ind w:left="1758" w:hanging="0"/>
      </w:pPr>
      <w:rPr>
        <w:rFonts w:ascii="Times New Roman" w:hAnsi="Times New Roman" w:cs="Times New Roman" w:hint="default"/>
        <w:rFonts w:cs="Times New Roman"/>
      </w:rPr>
    </w:lvl>
    <w:lvl w:ilvl="4">
      <w:start w:val="1"/>
      <w:numFmt w:val="bullet"/>
      <w:lvlText w:val="–"/>
      <w:lvlJc w:val="left"/>
      <w:pPr>
        <w:ind w:left="2155" w:hanging="0"/>
      </w:pPr>
      <w:rPr>
        <w:rFonts w:ascii="Times New Roman" w:hAnsi="Times New Roman" w:cs="Times New Roman" w:hint="default"/>
        <w:rFonts w:cs="Times New Roman"/>
      </w:rPr>
    </w:lvl>
    <w:lvl w:ilvl="5">
      <w:start w:val="1"/>
      <w:numFmt w:val="bullet"/>
      <w:lvlText w:val="–"/>
      <w:lvlJc w:val="left"/>
      <w:pPr>
        <w:ind w:left="2552" w:hanging="0"/>
      </w:pPr>
      <w:rPr>
        <w:rFonts w:ascii="Times New Roman" w:hAnsi="Times New Roman" w:cs="Times New Roman" w:hint="default"/>
        <w:rFonts w:cs="Times New Roman"/>
      </w:rPr>
    </w:lvl>
    <w:lvl w:ilvl="6">
      <w:start w:val="1"/>
      <w:numFmt w:val="bullet"/>
      <w:lvlText w:val=""/>
      <w:lvlJc w:val="left"/>
      <w:pPr>
        <w:ind w:left="2949" w:hanging="0"/>
      </w:pPr>
      <w:rPr>
        <w:rFonts w:ascii="Symbol" w:hAnsi="Symbol" w:cs="Symbol" w:hint="default"/>
      </w:rPr>
    </w:lvl>
    <w:lvl w:ilvl="7">
      <w:start w:val="1"/>
      <w:numFmt w:val="bullet"/>
      <w:lvlText w:val="–"/>
      <w:lvlJc w:val="left"/>
      <w:pPr>
        <w:ind w:left="3346" w:hanging="0"/>
      </w:pPr>
      <w:rPr>
        <w:rFonts w:ascii="Times New Roman" w:hAnsi="Times New Roman" w:cs="Times New Roman" w:hint="default"/>
        <w:rFonts w:cs="Times New Roman"/>
      </w:rPr>
    </w:lvl>
    <w:lvl w:ilvl="8">
      <w:start w:val="1"/>
      <w:numFmt w:val="bullet"/>
      <w:lvlText w:val=""/>
      <w:lvlJc w:val="left"/>
      <w:pPr>
        <w:ind w:left="3743" w:hanging="0"/>
      </w:pPr>
      <w:rPr>
        <w:rFonts w:ascii="Symbol" w:hAnsi="Symbol" w:cs="Symbol" w:hint="default"/>
      </w:rPr>
    </w:lvl>
  </w:abstractNum>
  <w:abstractNum w:abstractNumId="3">
    <w:lvl w:ilvl="0">
      <w:start w:val="143"/>
      <w:numFmt w:val="decimal"/>
      <w:lvlText w:val="%1"/>
      <w:lvlJc w:val="left"/>
      <w:pPr>
        <w:ind w:left="701" w:hanging="600"/>
      </w:pPr>
    </w:lvl>
    <w:lvl w:ilvl="1">
      <w:start w:val="1"/>
      <w:numFmt w:val="decimal"/>
      <w:lvlText w:val="%1.%2"/>
      <w:lvlJc w:val="left"/>
      <w:pPr>
        <w:ind w:left="701" w:hanging="600"/>
      </w:pPr>
      <w:rPr>
        <w:sz w:val="24"/>
        <w:szCs w:val="24"/>
        <w:rFonts w:ascii="Times New Roman" w:hAnsi="Times New Roman" w:eastAsia="Times New Roman"/>
      </w:rPr>
    </w:lvl>
    <w:lvl w:ilvl="2">
      <w:start w:val="1"/>
      <w:numFmt w:val="decimal"/>
      <w:lvlText w:val="%3."/>
      <w:lvlJc w:val="left"/>
      <w:pPr>
        <w:ind w:left="814" w:hanging="356"/>
      </w:pPr>
      <w:rPr>
        <w:sz w:val="28"/>
        <w:spacing w:val="1"/>
        <w:b/>
        <w:szCs w:val="28"/>
        <w:bCs/>
        <w:rFonts w:ascii="Times New Roman" w:hAnsi="Times New Roman" w:eastAsia="Times New Roman"/>
      </w:rPr>
    </w:lvl>
    <w:lvl w:ilvl="3">
      <w:start w:val="1"/>
      <w:numFmt w:val="decimal"/>
      <w:lvlText w:val="%1.%2.%3.%4."/>
      <w:lvlJc w:val="left"/>
      <w:pPr>
        <w:ind w:left="101" w:hanging="838"/>
      </w:pPr>
      <w:rPr>
        <w:sz w:val="26"/>
        <w:b/>
        <w:szCs w:val="26"/>
        <w:bCs/>
        <w:w w:val="99"/>
        <w:rFonts w:ascii="Times New Roman" w:hAnsi="Times New Roman" w:eastAsia="Times New Roman"/>
      </w:rPr>
    </w:lvl>
    <w:lvl w:ilvl="4">
      <w:start w:val="1"/>
      <w:numFmt w:val="bullet"/>
      <w:lvlText w:val=""/>
      <w:lvlJc w:val="left"/>
      <w:pPr>
        <w:ind w:left="3002" w:hanging="838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096" w:hanging="838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189" w:hanging="838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283" w:hanging="838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377" w:hanging="838"/>
      </w:pPr>
      <w:rPr>
        <w:rFonts w:ascii="Symbol" w:hAnsi="Symbol" w:cs="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>
        <w:widowControl/>
        <w:suppressAutoHyphens w:val="false"/>
        <w:textAlignment w:val="baseline"/>
      </w:pPr>
    </w:pPrDefault>
  </w:docDefaults>
  <w:style w:type="paragraph" w:styleId="Normal">
    <w:name w:val="Normal"/>
    <w:qFormat/>
    <w:pPr>
      <w:keepNext w:val="false"/>
      <w:keepLines w:val="false"/>
      <w:pageBreakBefore w:val="false"/>
      <w:widowControl/>
      <w:pBdr/>
      <w:shd w:fill="auto" w:val="clear"/>
      <w:suppressAutoHyphens w:val="false"/>
      <w:kinsoku w:val="true"/>
      <w:overflowPunct w:val="true"/>
      <w:autoSpaceDE w:val="true"/>
      <w:bidi w:val="0"/>
      <w:snapToGrid w:val="true"/>
      <w:spacing w:lineRule="auto" w:line="240"/>
      <w:jc w:val="left"/>
      <w:textAlignment w:val="baseline"/>
    </w:pPr>
    <w:rPr>
      <w:rFonts w:ascii="Calibri" w:hAnsi="Calibri" w:eastAsia="Calibri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0"/>
      <w:sz w:val="20"/>
      <w:szCs w:val="20"/>
      <w:u w:val="none"/>
      <w:vertAlign w:val="baseline"/>
      <w:em w:val="none"/>
      <w:lang w:val="ru-RU" w:eastAsia="ru-RU" w:bidi="ar-SA"/>
    </w:rPr>
  </w:style>
  <w:style w:type="paragraph" w:styleId="1">
    <w:name w:val="Heading 1"/>
    <w:basedOn w:val="Style40"/>
    <w:next w:val="Style40"/>
    <w:qFormat/>
    <w:pPr>
      <w:keepNext w:val="true"/>
      <w:suppressAutoHyphens w:val="true"/>
      <w:jc w:val="center"/>
      <w:outlineLvl w:val="0"/>
    </w:pPr>
    <w:rPr>
      <w:b/>
      <w:bCs/>
      <w:caps/>
      <w:kern w:val="2"/>
      <w:sz w:val="26"/>
      <w:szCs w:val="32"/>
    </w:rPr>
  </w:style>
  <w:style w:type="paragraph" w:styleId="2">
    <w:name w:val="Heading 2"/>
    <w:basedOn w:val="Style40"/>
    <w:next w:val="Style40"/>
    <w:qFormat/>
    <w:pPr>
      <w:keepNext w:val="true"/>
      <w:keepLines/>
      <w:suppressAutoHyphens w:val="true"/>
      <w:outlineLvl w:val="1"/>
    </w:pPr>
    <w:rPr>
      <w:b/>
      <w:bCs/>
      <w:szCs w:val="26"/>
    </w:rPr>
  </w:style>
  <w:style w:type="paragraph" w:styleId="3">
    <w:name w:val="Heading 3"/>
    <w:basedOn w:val="Style40"/>
    <w:next w:val="Style40"/>
    <w:qFormat/>
    <w:pPr>
      <w:keepNext w:val="true"/>
      <w:keepLines/>
      <w:numPr>
        <w:ilvl w:val="2"/>
        <w:numId w:val="1"/>
      </w:numPr>
      <w:suppressAutoHyphens w:val="true"/>
      <w:outlineLvl w:val="2"/>
    </w:pPr>
    <w:rPr>
      <w:bCs/>
      <w:i/>
    </w:rPr>
  </w:style>
  <w:style w:type="paragraph" w:styleId="4">
    <w:name w:val="Heading 4"/>
    <w:basedOn w:val="Style40"/>
    <w:next w:val="Style40"/>
    <w:qFormat/>
    <w:pPr>
      <w:keepNext w:val="true"/>
      <w:keepLines/>
      <w:numPr>
        <w:ilvl w:val="3"/>
        <w:numId w:val="1"/>
      </w:numPr>
      <w:suppressAutoHyphens w:val="true"/>
      <w:spacing w:before="200" w:after="0"/>
      <w:outlineLvl w:val="3"/>
    </w:pPr>
    <w:rPr>
      <w:rFonts w:ascii="Cambria" w:hAnsi="Cambria" w:cs="Cambria"/>
      <w:b/>
      <w:bCs/>
      <w:i/>
      <w:iCs/>
      <w:color w:val="4F81BD"/>
      <w:sz w:val="22"/>
    </w:rPr>
  </w:style>
  <w:style w:type="paragraph" w:styleId="7">
    <w:name w:val="Heading 7"/>
    <w:basedOn w:val="Style40"/>
    <w:next w:val="Style40"/>
    <w:qFormat/>
    <w:pPr>
      <w:numPr>
        <w:ilvl w:val="6"/>
        <w:numId w:val="1"/>
      </w:numPr>
      <w:suppressAutoHyphens w:val="true"/>
      <w:spacing w:lineRule="auto" w:line="240" w:before="0" w:after="120"/>
      <w:jc w:val="center"/>
      <w:outlineLvl w:val="6"/>
    </w:pPr>
    <w:rPr>
      <w:rFonts w:ascii="Cambria" w:hAnsi="Cambria" w:eastAsia="Cambria" w:cs="Cambria"/>
      <w:i/>
      <w:iCs/>
      <w:caps/>
      <w:color w:val="943634"/>
      <w:spacing w:val="10"/>
      <w:sz w:val="22"/>
      <w:lang w:val="en-US"/>
    </w:rPr>
  </w:style>
  <w:style w:type="character" w:styleId="Style9">
    <w:name w:val="Основной шрифт абзаца"/>
    <w:qFormat/>
    <w:rPr/>
  </w:style>
  <w:style w:type="character" w:styleId="WWCharLFO1LVL2">
    <w:name w:val="WW_CharLFO1LVL2"/>
    <w:qFormat/>
    <w:rPr>
      <w:rFonts w:ascii="Times New Roman" w:hAnsi="Times New Roman" w:eastAsia="Times New Roman"/>
      <w:b/>
      <w:bCs/>
      <w:w w:val="99"/>
      <w:sz w:val="26"/>
      <w:szCs w:val="26"/>
    </w:rPr>
  </w:style>
  <w:style w:type="character" w:styleId="11">
    <w:name w:val="Заголовок 1 Знак"/>
    <w:qFormat/>
    <w:rPr>
      <w:rFonts w:ascii="Times New Roman" w:hAnsi="Times New Roman" w:eastAsia="Times New Roman" w:cs="Times New Roman"/>
      <w:b/>
      <w:bCs/>
      <w:caps/>
      <w:kern w:val="2"/>
      <w:sz w:val="26"/>
      <w:szCs w:val="32"/>
      <w:lang w:eastAsia="en-US"/>
    </w:rPr>
  </w:style>
  <w:style w:type="character" w:styleId="21">
    <w:name w:val="Заголовок 2 Знак"/>
    <w:qFormat/>
    <w:rPr>
      <w:rFonts w:ascii="Times New Roman" w:hAnsi="Times New Roman" w:eastAsia="Times New Roman" w:cs="Times New Roman"/>
      <w:b/>
      <w:bCs/>
      <w:sz w:val="24"/>
      <w:szCs w:val="26"/>
      <w:lang w:eastAsia="en-US"/>
    </w:rPr>
  </w:style>
  <w:style w:type="character" w:styleId="31">
    <w:name w:val="Заголовок 3 Знак"/>
    <w:qFormat/>
    <w:rPr>
      <w:rFonts w:ascii="Times New Roman" w:hAnsi="Times New Roman" w:eastAsia="Times New Roman" w:cs="Times New Roman"/>
      <w:bCs/>
      <w:i/>
      <w:sz w:val="24"/>
      <w:szCs w:val="22"/>
      <w:lang w:eastAsia="en-US"/>
    </w:rPr>
  </w:style>
  <w:style w:type="character" w:styleId="71">
    <w:name w:val="Заголовок 7 Знак"/>
    <w:qFormat/>
    <w:rPr>
      <w:rFonts w:ascii="Cambria" w:hAnsi="Cambria" w:eastAsia="Cambria" w:cs="Times New Roman"/>
      <w:i/>
      <w:iCs/>
      <w:caps/>
      <w:color w:val="943634"/>
      <w:spacing w:val="10"/>
      <w:sz w:val="22"/>
      <w:szCs w:val="22"/>
      <w:lang w:val="en-US" w:eastAsia="en-US"/>
    </w:rPr>
  </w:style>
  <w:style w:type="character" w:styleId="Style10">
    <w:name w:val="Гиперссылка"/>
    <w:qFormat/>
    <w:rPr>
      <w:rFonts w:cs="Times New Roman"/>
      <w:color w:val="0000FF"/>
      <w:u w:val="single"/>
    </w:rPr>
  </w:style>
  <w:style w:type="character" w:styleId="Style11">
    <w:name w:val="Верхний колонтитул Знак"/>
    <w:qFormat/>
    <w:rPr>
      <w:rFonts w:cs="Times New Roman"/>
      <w:sz w:val="22"/>
      <w:szCs w:val="22"/>
      <w:lang w:eastAsia="en-US"/>
    </w:rPr>
  </w:style>
  <w:style w:type="character" w:styleId="Style12">
    <w:name w:val="Нижний колонтитул Знак"/>
    <w:qFormat/>
    <w:rPr>
      <w:rFonts w:cs="Times New Roman"/>
      <w:sz w:val="22"/>
      <w:szCs w:val="22"/>
      <w:lang w:eastAsia="en-US"/>
    </w:rPr>
  </w:style>
  <w:style w:type="character" w:styleId="Style13">
    <w:name w:val="Название Знак"/>
    <w:qFormat/>
    <w:rPr>
      <w:rFonts w:ascii="Cambria" w:hAnsi="Cambria" w:eastAsia="Cambria" w:cs="Times New Roman"/>
      <w:b/>
      <w:bCs/>
      <w:kern w:val="2"/>
      <w:sz w:val="32"/>
      <w:szCs w:val="32"/>
      <w:lang w:eastAsia="en-US"/>
    </w:rPr>
  </w:style>
  <w:style w:type="character" w:styleId="Maximyz1">
    <w:name w:val="Maximyz Заголовок 1 Знак"/>
    <w:qFormat/>
    <w:rPr>
      <w:rFonts w:ascii="Times New Roman" w:hAnsi="Times New Roman" w:eastAsia="Times New Roman" w:cs="Times New Roman"/>
      <w:b/>
      <w:color w:val="000000"/>
      <w:sz w:val="28"/>
      <w:lang w:eastAsia="en-US"/>
    </w:rPr>
  </w:style>
  <w:style w:type="character" w:styleId="Style14">
    <w:name w:val="Раздел Знак"/>
    <w:qFormat/>
    <w:rPr>
      <w:rFonts w:ascii="Times New Roman" w:hAnsi="Times New Roman" w:eastAsia="Times New Roman" w:cs="Times New Roman"/>
      <w:b/>
      <w:sz w:val="26"/>
      <w:szCs w:val="24"/>
      <w:lang w:eastAsia="en-US"/>
    </w:rPr>
  </w:style>
  <w:style w:type="character" w:styleId="Style15">
    <w:name w:val="Текст выноски Знак"/>
    <w:qFormat/>
    <w:rPr>
      <w:rFonts w:ascii="Tahoma" w:hAnsi="Tahoma" w:eastAsia="Tahoma" w:cs="Tahoma"/>
      <w:sz w:val="16"/>
      <w:szCs w:val="16"/>
      <w:lang w:eastAsia="en-US"/>
    </w:rPr>
  </w:style>
  <w:style w:type="character" w:styleId="Style16">
    <w:name w:val="Абзац списка Знак"/>
    <w:qFormat/>
    <w:rPr>
      <w:rFonts w:cs="Times New Roman"/>
      <w:sz w:val="22"/>
      <w:szCs w:val="22"/>
      <w:lang w:eastAsia="en-US"/>
    </w:rPr>
  </w:style>
  <w:style w:type="character" w:styleId="Style17">
    <w:name w:val="Глава Знак"/>
    <w:qFormat/>
    <w:rPr>
      <w:rFonts w:ascii="Times New Roman" w:hAnsi="Times New Roman" w:eastAsia="Times New Roman" w:cs="Times New Roman"/>
      <w:b/>
      <w:sz w:val="24"/>
      <w:szCs w:val="24"/>
      <w:lang w:eastAsia="en-US"/>
    </w:rPr>
  </w:style>
  <w:style w:type="character" w:styleId="Style18">
    <w:name w:val="Строгий"/>
    <w:qFormat/>
    <w:rPr>
      <w:rFonts w:cs="Times New Roman"/>
      <w:b/>
      <w:bCs/>
    </w:rPr>
  </w:style>
  <w:style w:type="character" w:styleId="Appleconvertedspace">
    <w:name w:val="apple-converted-space"/>
    <w:qFormat/>
    <w:rPr>
      <w:rFonts w:cs="Times New Roman"/>
    </w:rPr>
  </w:style>
  <w:style w:type="character" w:styleId="Docbody">
    <w:name w:val="docbody"/>
    <w:qFormat/>
    <w:rPr>
      <w:rFonts w:cs="Times New Roman"/>
    </w:rPr>
  </w:style>
  <w:style w:type="character" w:styleId="FontStyle12">
    <w:name w:val="Font Style12"/>
    <w:qFormat/>
    <w:rPr>
      <w:rFonts w:ascii="Times New Roman" w:hAnsi="Times New Roman" w:eastAsia="Times New Roman" w:cs="Times New Roman"/>
      <w:sz w:val="28"/>
      <w:szCs w:val="28"/>
    </w:rPr>
  </w:style>
  <w:style w:type="character" w:styleId="FontStyle13">
    <w:name w:val="Font Style13"/>
    <w:qFormat/>
    <w:rPr>
      <w:rFonts w:ascii="Times New Roman" w:hAnsi="Times New Roman" w:eastAsia="Times New Roman" w:cs="Times New Roman"/>
      <w:sz w:val="26"/>
      <w:szCs w:val="26"/>
    </w:rPr>
  </w:style>
  <w:style w:type="character" w:styleId="FontStyle14">
    <w:name w:val="Font Style14"/>
    <w:qFormat/>
    <w:rPr>
      <w:rFonts w:ascii="Times New Roman" w:hAnsi="Times New Roman" w:eastAsia="Times New Roman" w:cs="Times New Roman"/>
      <w:sz w:val="26"/>
      <w:szCs w:val="26"/>
    </w:rPr>
  </w:style>
  <w:style w:type="character" w:styleId="Style19">
    <w:name w:val="ОснТекст Знак"/>
    <w:qFormat/>
    <w:rPr>
      <w:rFonts w:ascii="Times New Roman" w:hAnsi="Times New Roman" w:eastAsia="Calibri" w:cs="Times New Roman"/>
      <w:sz w:val="24"/>
      <w:szCs w:val="24"/>
      <w:lang w:eastAsia="en-US"/>
    </w:rPr>
  </w:style>
  <w:style w:type="character" w:styleId="41">
    <w:name w:val="Заголовок 4 Знак"/>
    <w:qFormat/>
    <w:rPr>
      <w:rFonts w:ascii="Cambria" w:hAnsi="Cambria" w:eastAsia="Times New Roman" w:cs="Times New Roman"/>
      <w:b/>
      <w:bCs/>
      <w:i/>
      <w:iCs/>
      <w:color w:val="4F81BD"/>
      <w:sz w:val="22"/>
      <w:szCs w:val="22"/>
      <w:lang w:eastAsia="en-US"/>
    </w:rPr>
  </w:style>
  <w:style w:type="character" w:styleId="Style20">
    <w:name w:val="Без интервала Знак"/>
    <w:qFormat/>
    <w:rPr>
      <w:sz w:val="22"/>
      <w:szCs w:val="22"/>
      <w:lang w:eastAsia="en-US" w:bidi="ar-SA"/>
    </w:rPr>
  </w:style>
  <w:style w:type="character" w:styleId="Style21">
    <w:name w:val="ТАБЛИЦЫ Знак"/>
    <w:qFormat/>
    <w:rPr>
      <w:sz w:val="22"/>
      <w:szCs w:val="22"/>
      <w:lang w:eastAsia="en-US"/>
    </w:rPr>
  </w:style>
  <w:style w:type="character" w:styleId="Mwheadline">
    <w:name w:val="mw-headline"/>
    <w:basedOn w:val="Style9"/>
    <w:qFormat/>
    <w:rPr/>
  </w:style>
  <w:style w:type="character" w:styleId="ListParagraphChar">
    <w:name w:val="List Paragraph Char"/>
    <w:qFormat/>
    <w:rPr>
      <w:rFonts w:ascii="Times New Roman" w:hAnsi="Times New Roman" w:eastAsia="Times New Roman" w:cs="Times New Roman"/>
      <w:szCs w:val="22"/>
      <w:lang w:eastAsia="en-US"/>
    </w:rPr>
  </w:style>
  <w:style w:type="character" w:styleId="Style22">
    <w:name w:val="Основной текст Знак"/>
    <w:qFormat/>
    <w:rPr>
      <w:rFonts w:ascii="Times New Roman" w:hAnsi="Times New Roman" w:eastAsia="Times New Roman" w:cs="Times New Roman"/>
      <w:b/>
      <w:color w:val="000000"/>
      <w:sz w:val="28"/>
      <w:szCs w:val="28"/>
    </w:rPr>
  </w:style>
  <w:style w:type="character" w:styleId="Mycontent">
    <w:name w:val="mycontent"/>
    <w:basedOn w:val="Style9"/>
    <w:qFormat/>
    <w:rPr/>
  </w:style>
  <w:style w:type="character" w:styleId="Style23">
    <w:name w:val="Просмотренная гиперссылка"/>
    <w:qFormat/>
    <w:rPr>
      <w:color w:val="800080"/>
      <w:u w:val="single"/>
    </w:rPr>
  </w:style>
  <w:style w:type="character" w:styleId="MTDisplayEquation">
    <w:name w:val="MTDisplayEquation Знак"/>
    <w:qFormat/>
    <w:rPr>
      <w:rFonts w:ascii="Times New Roman" w:hAnsi="Times New Roman" w:eastAsia="Calibri" w:cs="Times New Roman"/>
      <w:sz w:val="24"/>
      <w:szCs w:val="22"/>
      <w:lang w:eastAsia="en-US"/>
    </w:rPr>
  </w:style>
  <w:style w:type="character" w:styleId="Style24">
    <w:name w:val="Замещающий текст"/>
    <w:qFormat/>
    <w:rPr>
      <w:color w:val="808080"/>
    </w:rPr>
  </w:style>
  <w:style w:type="character" w:styleId="Style25">
    <w:name w:val="Схема документа Знак"/>
    <w:qFormat/>
    <w:rPr>
      <w:rFonts w:ascii="Tahoma" w:hAnsi="Tahoma" w:eastAsia="Tahoma" w:cs="Tahoma"/>
      <w:sz w:val="16"/>
      <w:szCs w:val="16"/>
      <w:lang w:eastAsia="en-US"/>
    </w:rPr>
  </w:style>
  <w:style w:type="character" w:styleId="22">
    <w:name w:val="Основной текст с отступом 2 Знак"/>
    <w:qFormat/>
    <w:rPr>
      <w:rFonts w:ascii="Times New Roman" w:hAnsi="Times New Roman" w:eastAsia="Times New Roman" w:cs="Times New Roman"/>
      <w:sz w:val="24"/>
      <w:szCs w:val="22"/>
      <w:lang w:eastAsia="en-US"/>
    </w:rPr>
  </w:style>
  <w:style w:type="character" w:styleId="Style26">
    <w:name w:val="Абзац Знак"/>
    <w:qFormat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styleId="Style27">
    <w:name w:val="Текст сноски Знак"/>
    <w:qFormat/>
    <w:rPr>
      <w:rFonts w:ascii="Times New Roman" w:hAnsi="Times New Roman" w:eastAsia="Times New Roman" w:cs="Times New Roman"/>
      <w:lang w:eastAsia="ar-SA"/>
    </w:rPr>
  </w:style>
  <w:style w:type="character" w:styleId="Style28">
    <w:name w:val="Подзаголовок Знак"/>
    <w:qFormat/>
    <w:rPr>
      <w:rFonts w:ascii="Cambria" w:hAnsi="Cambria" w:eastAsia="Times New Roman" w:cs="Cambria"/>
      <w:i/>
      <w:iCs/>
      <w:color w:val="4F81BD"/>
      <w:spacing w:val="15"/>
      <w:sz w:val="24"/>
      <w:szCs w:val="24"/>
    </w:rPr>
  </w:style>
  <w:style w:type="character" w:styleId="12">
    <w:name w:val="Список_маркерный_1_уровень Знак"/>
    <w:qFormat/>
    <w:rPr>
      <w:rFonts w:ascii="Times New Roman" w:hAnsi="Times New Roman" w:eastAsia="Times New Roman" w:cs="Times New Roman"/>
      <w:sz w:val="24"/>
      <w:szCs w:val="24"/>
    </w:rPr>
  </w:style>
  <w:style w:type="character" w:styleId="Style29">
    <w:name w:val="Заголовок документа Знак"/>
    <w:qFormat/>
    <w:rPr>
      <w:rFonts w:ascii="Times New Roman" w:hAnsi="Times New Roman" w:eastAsia="Times New Roman" w:cs="Times New Roman"/>
      <w:b/>
      <w:sz w:val="28"/>
      <w:szCs w:val="28"/>
      <w:lang w:eastAsia="en-US"/>
    </w:rPr>
  </w:style>
  <w:style w:type="character" w:styleId="13">
    <w:name w:val="ААУр1 Знак"/>
    <w:qFormat/>
    <w:rPr>
      <w:rFonts w:ascii="Times New Roman" w:hAnsi="Times New Roman" w:eastAsia="Times New Roman" w:cs="Times New Roman"/>
      <w:b/>
      <w:bCs/>
      <w:spacing w:val="-1"/>
      <w:sz w:val="28"/>
      <w:szCs w:val="28"/>
      <w:lang w:eastAsia="en-US"/>
    </w:rPr>
  </w:style>
  <w:style w:type="character" w:styleId="Style30">
    <w:name w:val="ААОбыч Знак"/>
    <w:qFormat/>
    <w:rPr>
      <w:rFonts w:ascii="Times New Roman" w:hAnsi="Times New Roman" w:eastAsia="Times New Roman" w:cs="Times New Roman"/>
      <w:sz w:val="24"/>
      <w:szCs w:val="24"/>
      <w:lang w:eastAsia="en-US"/>
    </w:rPr>
  </w:style>
  <w:style w:type="character" w:styleId="Style31">
    <w:name w:val="ААПереч Знак"/>
    <w:qFormat/>
    <w:rPr>
      <w:rFonts w:ascii="Times New Roman" w:hAnsi="Times New Roman" w:eastAsia="Times New Roman" w:cs="Times New Roman"/>
      <w:spacing w:val="-1"/>
      <w:sz w:val="24"/>
      <w:szCs w:val="24"/>
      <w:lang w:eastAsia="en-US"/>
    </w:rPr>
  </w:style>
  <w:style w:type="character" w:styleId="Style32">
    <w:name w:val="ААРис Знак"/>
    <w:qFormat/>
    <w:rPr>
      <w:rFonts w:ascii="Times New Roman" w:hAnsi="Times New Roman" w:eastAsia="Times New Roman" w:cs="Times New Roman"/>
      <w:i/>
      <w:szCs w:val="22"/>
      <w:lang w:eastAsia="en-US"/>
    </w:rPr>
  </w:style>
  <w:style w:type="character" w:styleId="Style33">
    <w:name w:val="Название объекта Знак"/>
    <w:qFormat/>
    <w:rPr>
      <w:rFonts w:ascii="Times New Roman" w:hAnsi="Times New Roman" w:eastAsia="Times New Roman" w:cs="Times New Roman"/>
      <w:bCs/>
      <w:sz w:val="24"/>
      <w:lang w:eastAsia="en-US"/>
    </w:rPr>
  </w:style>
  <w:style w:type="character" w:styleId="Style34">
    <w:name w:val="ААТабл Знак"/>
    <w:qFormat/>
    <w:rPr>
      <w:rFonts w:ascii="Times New Roman" w:hAnsi="Times New Roman" w:eastAsia="Times New Roman" w:cs="Times New Roman"/>
      <w:bCs/>
      <w:i/>
      <w:sz w:val="22"/>
      <w:szCs w:val="22"/>
      <w:lang w:eastAsia="en-US"/>
    </w:rPr>
  </w:style>
  <w:style w:type="character" w:styleId="Style35">
    <w:name w:val="ААСодТаб Знак"/>
    <w:qFormat/>
    <w:rPr>
      <w:rFonts w:ascii="Times New Roman" w:hAnsi="Times New Roman" w:eastAsia="Times New Roman" w:cs="Times New Roman"/>
      <w:sz w:val="22"/>
      <w:szCs w:val="22"/>
    </w:rPr>
  </w:style>
  <w:style w:type="character" w:styleId="14">
    <w:name w:val="в таблице1 Знак"/>
    <w:qFormat/>
    <w:rPr>
      <w:rFonts w:ascii="Times New Roman" w:hAnsi="Times New Roman" w:eastAsia="Times New Roman" w:cs="Times New Roman"/>
    </w:rPr>
  </w:style>
  <w:style w:type="character" w:styleId="213pt">
    <w:name w:val="Основной текст (2) + 13 pt"/>
    <w:qFormat/>
    <w:rPr>
      <w:rFonts w:ascii="Times New Roman" w:hAnsi="Times New Roman" w:eastAsia="Times New Roman" w:cs="Times New Roman"/>
      <w:sz w:val="26"/>
      <w:szCs w:val="26"/>
      <w:highlight w:val="white"/>
      <w:u w:val="none"/>
    </w:rPr>
  </w:style>
  <w:style w:type="character" w:styleId="15">
    <w:name w:val="Таблица1 Знак"/>
    <w:qFormat/>
    <w:rPr>
      <w:rFonts w:ascii="Times New Roman" w:hAnsi="Times New Roman" w:eastAsia="Times New Roman" w:cs="Times New Roman"/>
      <w:b/>
      <w:bCs/>
      <w:lang w:val="tt-RU"/>
    </w:rPr>
  </w:style>
  <w:style w:type="character" w:styleId="Style36">
    <w:name w:val="Номер страницы"/>
    <w:rPr/>
  </w:style>
  <w:style w:type="character" w:styleId="TableParagraph">
    <w:name w:val="Table Paragraph Знак"/>
    <w:qFormat/>
    <w:rPr>
      <w:sz w:val="22"/>
      <w:szCs w:val="22"/>
      <w:lang w:val="en-US" w:eastAsia="en-US"/>
    </w:rPr>
  </w:style>
  <w:style w:type="character" w:styleId="Style37">
    <w:name w:val="ААОбычн Знак"/>
    <w:qFormat/>
    <w:rPr>
      <w:rFonts w:ascii="Times New Roman" w:hAnsi="Times New Roman" w:eastAsia="Times New Roman" w:cs="Times New Roman"/>
      <w:sz w:val="24"/>
      <w:szCs w:val="24"/>
    </w:rPr>
  </w:style>
  <w:style w:type="character" w:styleId="Style38">
    <w:name w:val="ААТАБЛ Знак"/>
    <w:qFormat/>
    <w:rPr>
      <w:rFonts w:ascii="Times New Roman" w:hAnsi="Times New Roman" w:eastAsia="Times New Roman" w:cs="Times New Roman"/>
      <w:i/>
      <w:iCs/>
      <w:sz w:val="24"/>
      <w:szCs w:val="24"/>
      <w:lang w:eastAsia="en-US"/>
    </w:rPr>
  </w:style>
  <w:style w:type="character" w:styleId="Style39">
    <w:name w:val="Интернет-ссылка"/>
    <w:rPr>
      <w:color w:val="000080"/>
      <w:u w:val="single"/>
    </w:rPr>
  </w:style>
  <w:style w:type="character" w:styleId="WWCharLFO2LVL2">
    <w:name w:val="WW_CharLFO2LVL2"/>
    <w:qFormat/>
    <w:rPr>
      <w:rFonts w:ascii="Times New Roman" w:hAnsi="Times New Roman" w:eastAsia="Times New Roman"/>
      <w:b/>
      <w:bCs/>
      <w:w w:val="99"/>
      <w:sz w:val="26"/>
      <w:szCs w:val="26"/>
    </w:rPr>
  </w:style>
  <w:style w:type="character" w:styleId="WWCharLFO3LVL2">
    <w:name w:val="WW_CharLFO3LVL2"/>
    <w:qFormat/>
    <w:rPr>
      <w:rFonts w:ascii="Times New Roman" w:hAnsi="Times New Roman" w:eastAsia="Times New Roman"/>
      <w:b/>
      <w:bCs/>
      <w:w w:val="99"/>
      <w:sz w:val="26"/>
      <w:szCs w:val="26"/>
    </w:rPr>
  </w:style>
  <w:style w:type="character" w:styleId="WWCharLFO4LVL2">
    <w:name w:val="WW_CharLFO4LVL2"/>
    <w:qFormat/>
    <w:rPr>
      <w:rFonts w:ascii="Times New Roman" w:hAnsi="Times New Roman" w:eastAsia="Times New Roman"/>
      <w:b/>
      <w:bCs/>
      <w:w w:val="99"/>
      <w:sz w:val="26"/>
      <w:szCs w:val="26"/>
    </w:rPr>
  </w:style>
  <w:style w:type="character" w:styleId="WWCharLFO5LVL2">
    <w:name w:val="WW_CharLFO5LVL2"/>
    <w:qFormat/>
    <w:rPr>
      <w:rFonts w:ascii="Times New Roman" w:hAnsi="Times New Roman" w:eastAsia="Times New Roman"/>
      <w:b/>
      <w:bCs/>
      <w:w w:val="99"/>
      <w:sz w:val="26"/>
      <w:szCs w:val="26"/>
    </w:rPr>
  </w:style>
  <w:style w:type="character" w:styleId="WWCharLFO6LVL2">
    <w:name w:val="WW_CharLFO6LVL2"/>
    <w:qFormat/>
    <w:rPr>
      <w:rFonts w:ascii="Times New Roman" w:hAnsi="Times New Roman" w:eastAsia="Times New Roman"/>
      <w:b/>
      <w:bCs/>
      <w:w w:val="99"/>
      <w:sz w:val="26"/>
      <w:szCs w:val="26"/>
    </w:rPr>
  </w:style>
  <w:style w:type="character" w:styleId="WWCharLFO7LVL1">
    <w:name w:val="WW_CharLFO7LVL1"/>
    <w:qFormat/>
    <w:rPr>
      <w:rFonts w:ascii="Symbol" w:hAnsi="Symbol"/>
    </w:rPr>
  </w:style>
  <w:style w:type="character" w:styleId="WWCharLFO7LVL2">
    <w:name w:val="WW_CharLFO7LVL2"/>
    <w:qFormat/>
    <w:rPr>
      <w:rFonts w:ascii="Courier New" w:hAnsi="Courier New" w:cs="Courier New"/>
    </w:rPr>
  </w:style>
  <w:style w:type="character" w:styleId="WWCharLFO7LVL3">
    <w:name w:val="WW_CharLFO7LVL3"/>
    <w:qFormat/>
    <w:rPr>
      <w:rFonts w:ascii="Wingdings" w:hAnsi="Wingdings"/>
    </w:rPr>
  </w:style>
  <w:style w:type="character" w:styleId="WWCharLFO7LVL4">
    <w:name w:val="WW_CharLFO7LVL4"/>
    <w:qFormat/>
    <w:rPr>
      <w:rFonts w:ascii="Symbol" w:hAnsi="Symbol"/>
    </w:rPr>
  </w:style>
  <w:style w:type="character" w:styleId="WWCharLFO7LVL5">
    <w:name w:val="WW_CharLFO7LVL5"/>
    <w:qFormat/>
    <w:rPr>
      <w:rFonts w:ascii="Courier New" w:hAnsi="Courier New" w:cs="Courier New"/>
    </w:rPr>
  </w:style>
  <w:style w:type="character" w:styleId="WWCharLFO7LVL6">
    <w:name w:val="WW_CharLFO7LVL6"/>
    <w:qFormat/>
    <w:rPr>
      <w:rFonts w:ascii="Wingdings" w:hAnsi="Wingdings"/>
    </w:rPr>
  </w:style>
  <w:style w:type="character" w:styleId="WWCharLFO7LVL7">
    <w:name w:val="WW_CharLFO7LVL7"/>
    <w:qFormat/>
    <w:rPr>
      <w:rFonts w:ascii="Symbol" w:hAnsi="Symbol"/>
    </w:rPr>
  </w:style>
  <w:style w:type="character" w:styleId="WWCharLFO7LVL8">
    <w:name w:val="WW_CharLFO7LVL8"/>
    <w:qFormat/>
    <w:rPr>
      <w:rFonts w:ascii="Courier New" w:hAnsi="Courier New" w:cs="Courier New"/>
    </w:rPr>
  </w:style>
  <w:style w:type="character" w:styleId="WWCharLFO7LVL9">
    <w:name w:val="WW_CharLFO7LVL9"/>
    <w:qFormat/>
    <w:rPr>
      <w:rFonts w:ascii="Wingdings" w:hAnsi="Wingdings"/>
    </w:rPr>
  </w:style>
  <w:style w:type="character" w:styleId="WWCharLFO8LVL1">
    <w:name w:val="WW_CharLFO8LVL1"/>
    <w:qFormat/>
    <w:rPr>
      <w:rFonts w:ascii="Wingdings" w:hAnsi="Wingdings"/>
    </w:rPr>
  </w:style>
  <w:style w:type="character" w:styleId="WWCharLFO8LVL2">
    <w:name w:val="WW_CharLFO8LVL2"/>
    <w:qFormat/>
    <w:rPr>
      <w:rFonts w:ascii="Symbol" w:hAnsi="Symbol"/>
    </w:rPr>
  </w:style>
  <w:style w:type="character" w:styleId="WWCharLFO8LVL3">
    <w:name w:val="WW_CharLFO8LVL3"/>
    <w:qFormat/>
    <w:rPr>
      <w:rFonts w:ascii="Symbol" w:hAnsi="Symbol"/>
    </w:rPr>
  </w:style>
  <w:style w:type="character" w:styleId="WWCharLFO8LVL4">
    <w:name w:val="WW_CharLFO8LVL4"/>
    <w:qFormat/>
    <w:rPr>
      <w:rFonts w:ascii="Times New Roman" w:hAnsi="Times New Roman" w:cs="Times New Roman"/>
    </w:rPr>
  </w:style>
  <w:style w:type="character" w:styleId="WWCharLFO8LVL5">
    <w:name w:val="WW_CharLFO8LVL5"/>
    <w:qFormat/>
    <w:rPr>
      <w:rFonts w:ascii="Times New Roman" w:hAnsi="Times New Roman" w:cs="Times New Roman"/>
    </w:rPr>
  </w:style>
  <w:style w:type="character" w:styleId="WWCharLFO8LVL6">
    <w:name w:val="WW_CharLFO8LVL6"/>
    <w:qFormat/>
    <w:rPr>
      <w:rFonts w:ascii="Times New Roman" w:hAnsi="Times New Roman" w:cs="Times New Roman"/>
    </w:rPr>
  </w:style>
  <w:style w:type="character" w:styleId="WWCharLFO8LVL7">
    <w:name w:val="WW_CharLFO8LVL7"/>
    <w:qFormat/>
    <w:rPr>
      <w:rFonts w:ascii="Symbol" w:hAnsi="Symbol"/>
    </w:rPr>
  </w:style>
  <w:style w:type="character" w:styleId="WWCharLFO8LVL8">
    <w:name w:val="WW_CharLFO8LVL8"/>
    <w:qFormat/>
    <w:rPr>
      <w:rFonts w:ascii="Times New Roman" w:hAnsi="Times New Roman" w:cs="Times New Roman"/>
    </w:rPr>
  </w:style>
  <w:style w:type="character" w:styleId="WWCharLFO8LVL9">
    <w:name w:val="WW_CharLFO8LVL9"/>
    <w:qFormat/>
    <w:rPr>
      <w:rFonts w:ascii="Symbol" w:hAnsi="Symbol"/>
    </w:rPr>
  </w:style>
  <w:style w:type="character" w:styleId="WWCharLFO9LVL2">
    <w:name w:val="WW_CharLFO9LVL2"/>
    <w:qFormat/>
    <w:rPr>
      <w:rFonts w:ascii="Times New Roman" w:hAnsi="Times New Roman" w:eastAsia="Times New Roman"/>
      <w:sz w:val="24"/>
      <w:szCs w:val="24"/>
    </w:rPr>
  </w:style>
  <w:style w:type="character" w:styleId="WWCharLFO9LVL3">
    <w:name w:val="WW_CharLFO9LVL3"/>
    <w:qFormat/>
    <w:rPr>
      <w:rFonts w:ascii="Times New Roman" w:hAnsi="Times New Roman" w:eastAsia="Times New Roman"/>
      <w:b/>
      <w:bCs/>
      <w:spacing w:val="1"/>
      <w:sz w:val="28"/>
      <w:szCs w:val="28"/>
    </w:rPr>
  </w:style>
  <w:style w:type="character" w:styleId="WWCharLFO9LVL4">
    <w:name w:val="WW_CharLFO9LVL4"/>
    <w:qFormat/>
    <w:rPr>
      <w:rFonts w:ascii="Times New Roman" w:hAnsi="Times New Roman" w:eastAsia="Times New Roman"/>
      <w:b/>
      <w:bCs/>
      <w:w w:val="99"/>
      <w:sz w:val="26"/>
      <w:szCs w:val="26"/>
    </w:rPr>
  </w:style>
  <w:style w:type="character" w:styleId="WWCharLFO10LVL1">
    <w:name w:val="WW_CharLFO10LVL1"/>
    <w:qFormat/>
    <w:rPr>
      <w:rFonts w:ascii="Symbol" w:hAnsi="Symbol"/>
    </w:rPr>
  </w:style>
  <w:style w:type="character" w:styleId="WWCharLFO10LVL2">
    <w:name w:val="WW_CharLFO10LVL2"/>
    <w:qFormat/>
    <w:rPr>
      <w:rFonts w:ascii="Courier New" w:hAnsi="Courier New" w:cs="Courier New"/>
    </w:rPr>
  </w:style>
  <w:style w:type="character" w:styleId="WWCharLFO10LVL3">
    <w:name w:val="WW_CharLFO10LVL3"/>
    <w:qFormat/>
    <w:rPr>
      <w:rFonts w:ascii="Wingdings" w:hAnsi="Wingdings"/>
    </w:rPr>
  </w:style>
  <w:style w:type="character" w:styleId="WWCharLFO10LVL4">
    <w:name w:val="WW_CharLFO10LVL4"/>
    <w:qFormat/>
    <w:rPr>
      <w:rFonts w:ascii="Symbol" w:hAnsi="Symbol"/>
    </w:rPr>
  </w:style>
  <w:style w:type="character" w:styleId="WWCharLFO10LVL5">
    <w:name w:val="WW_CharLFO10LVL5"/>
    <w:qFormat/>
    <w:rPr>
      <w:rFonts w:ascii="Courier New" w:hAnsi="Courier New" w:cs="Courier New"/>
    </w:rPr>
  </w:style>
  <w:style w:type="character" w:styleId="WWCharLFO10LVL6">
    <w:name w:val="WW_CharLFO10LVL6"/>
    <w:qFormat/>
    <w:rPr>
      <w:rFonts w:ascii="Wingdings" w:hAnsi="Wingdings"/>
    </w:rPr>
  </w:style>
  <w:style w:type="character" w:styleId="WWCharLFO10LVL7">
    <w:name w:val="WW_CharLFO10LVL7"/>
    <w:qFormat/>
    <w:rPr>
      <w:rFonts w:ascii="Symbol" w:hAnsi="Symbol"/>
    </w:rPr>
  </w:style>
  <w:style w:type="character" w:styleId="WWCharLFO10LVL8">
    <w:name w:val="WW_CharLFO10LVL8"/>
    <w:qFormat/>
    <w:rPr>
      <w:rFonts w:ascii="Courier New" w:hAnsi="Courier New" w:cs="Courier New"/>
    </w:rPr>
  </w:style>
  <w:style w:type="character" w:styleId="WWCharLFO10LVL9">
    <w:name w:val="WW_CharLFO10LVL9"/>
    <w:qFormat/>
    <w:rPr>
      <w:rFonts w:ascii="Wingdings" w:hAnsi="Wingdings"/>
    </w:rPr>
  </w:style>
  <w:style w:type="character" w:styleId="WWCharOUTLINELVL2">
    <w:name w:val="WW_CharOUTLINELVL2"/>
    <w:qFormat/>
    <w:rPr>
      <w:rFonts w:ascii="Times New Roman" w:hAnsi="Times New Roman" w:eastAsia="Times New Roman"/>
      <w:b/>
      <w:bCs/>
      <w:w w:val="99"/>
      <w:sz w:val="26"/>
      <w:szCs w:val="26"/>
    </w:rPr>
  </w:style>
  <w:style w:type="character" w:styleId="WWCharLFO18LVL1">
    <w:name w:val="WW_CharLFO18LVL1"/>
    <w:qFormat/>
    <w:rPr>
      <w:rFonts w:ascii="Symbol" w:hAnsi="Symbol"/>
    </w:rPr>
  </w:style>
  <w:style w:type="character" w:styleId="WWCharLFO18LVL2">
    <w:name w:val="WW_CharLFO18LVL2"/>
    <w:qFormat/>
    <w:rPr>
      <w:rFonts w:ascii="Courier New" w:hAnsi="Courier New" w:cs="Courier New"/>
    </w:rPr>
  </w:style>
  <w:style w:type="character" w:styleId="WWCharLFO18LVL3">
    <w:name w:val="WW_CharLFO18LVL3"/>
    <w:qFormat/>
    <w:rPr>
      <w:rFonts w:ascii="Wingdings" w:hAnsi="Wingdings"/>
    </w:rPr>
  </w:style>
  <w:style w:type="character" w:styleId="WWCharLFO18LVL4">
    <w:name w:val="WW_CharLFO18LVL4"/>
    <w:qFormat/>
    <w:rPr>
      <w:rFonts w:ascii="Symbol" w:hAnsi="Symbol"/>
    </w:rPr>
  </w:style>
  <w:style w:type="character" w:styleId="WWCharLFO18LVL5">
    <w:name w:val="WW_CharLFO18LVL5"/>
    <w:qFormat/>
    <w:rPr>
      <w:rFonts w:ascii="Courier New" w:hAnsi="Courier New" w:cs="Courier New"/>
    </w:rPr>
  </w:style>
  <w:style w:type="character" w:styleId="WWCharLFO18LVL6">
    <w:name w:val="WW_CharLFO18LVL6"/>
    <w:qFormat/>
    <w:rPr>
      <w:rFonts w:ascii="Wingdings" w:hAnsi="Wingdings"/>
    </w:rPr>
  </w:style>
  <w:style w:type="character" w:styleId="WWCharLFO18LVL7">
    <w:name w:val="WW_CharLFO18LVL7"/>
    <w:qFormat/>
    <w:rPr>
      <w:rFonts w:ascii="Symbol" w:hAnsi="Symbol"/>
    </w:rPr>
  </w:style>
  <w:style w:type="character" w:styleId="WWCharLFO18LVL8">
    <w:name w:val="WW_CharLFO18LVL8"/>
    <w:qFormat/>
    <w:rPr>
      <w:rFonts w:ascii="Courier New" w:hAnsi="Courier New" w:cs="Courier New"/>
    </w:rPr>
  </w:style>
  <w:style w:type="character" w:styleId="WWCharLFO18LVL9">
    <w:name w:val="WW_CharLFO18LVL9"/>
    <w:qFormat/>
    <w:rPr>
      <w:rFonts w:ascii="Wingdings" w:hAnsi="Wingdings"/>
    </w:rPr>
  </w:style>
  <w:style w:type="character" w:styleId="WWCharLFO22LVL2">
    <w:name w:val="WW_CharLFO22LVL2"/>
    <w:qFormat/>
    <w:rPr>
      <w:rFonts w:ascii="Courier New" w:hAnsi="Courier New" w:cs="Courier New"/>
    </w:rPr>
  </w:style>
  <w:style w:type="character" w:styleId="WWCharLFO22LVL3">
    <w:name w:val="WW_CharLFO22LVL3"/>
    <w:qFormat/>
    <w:rPr>
      <w:rFonts w:ascii="Wingdings" w:hAnsi="Wingdings"/>
    </w:rPr>
  </w:style>
  <w:style w:type="character" w:styleId="WWCharLFO22LVL4">
    <w:name w:val="WW_CharLFO22LVL4"/>
    <w:qFormat/>
    <w:rPr>
      <w:rFonts w:ascii="Symbol" w:hAnsi="Symbol"/>
    </w:rPr>
  </w:style>
  <w:style w:type="character" w:styleId="WWCharLFO22LVL5">
    <w:name w:val="WW_CharLFO22LVL5"/>
    <w:qFormat/>
    <w:rPr>
      <w:rFonts w:ascii="Courier New" w:hAnsi="Courier New" w:cs="Courier New"/>
    </w:rPr>
  </w:style>
  <w:style w:type="character" w:styleId="WWCharLFO22LVL6">
    <w:name w:val="WW_CharLFO22LVL6"/>
    <w:qFormat/>
    <w:rPr>
      <w:rFonts w:ascii="Wingdings" w:hAnsi="Wingdings"/>
    </w:rPr>
  </w:style>
  <w:style w:type="character" w:styleId="WWCharLFO22LVL7">
    <w:name w:val="WW_CharLFO22LVL7"/>
    <w:qFormat/>
    <w:rPr>
      <w:rFonts w:ascii="Symbol" w:hAnsi="Symbol"/>
    </w:rPr>
  </w:style>
  <w:style w:type="character" w:styleId="WWCharLFO22LVL8">
    <w:name w:val="WW_CharLFO22LVL8"/>
    <w:qFormat/>
    <w:rPr>
      <w:rFonts w:ascii="Courier New" w:hAnsi="Courier New" w:cs="Courier New"/>
    </w:rPr>
  </w:style>
  <w:style w:type="character" w:styleId="WWCharLFO22LVL9">
    <w:name w:val="WW_CharLFO22LVL9"/>
    <w:qFormat/>
    <w:rPr>
      <w:rFonts w:ascii="Wingdings" w:hAnsi="Wingdings"/>
    </w:rPr>
  </w:style>
  <w:style w:type="character" w:styleId="WWCharLFO24LVL1">
    <w:name w:val="WW_CharLFO24LVL1"/>
    <w:qFormat/>
    <w:rPr>
      <w:rFonts w:ascii="Symbol" w:hAnsi="Symbol"/>
    </w:rPr>
  </w:style>
  <w:style w:type="character" w:styleId="WWCharLFO24LVL2">
    <w:name w:val="WW_CharLFO24LVL2"/>
    <w:qFormat/>
    <w:rPr>
      <w:rFonts w:ascii="Courier New" w:hAnsi="Courier New" w:cs="Courier New"/>
    </w:rPr>
  </w:style>
  <w:style w:type="character" w:styleId="WWCharLFO24LVL3">
    <w:name w:val="WW_CharLFO24LVL3"/>
    <w:qFormat/>
    <w:rPr>
      <w:rFonts w:ascii="Wingdings" w:hAnsi="Wingdings"/>
    </w:rPr>
  </w:style>
  <w:style w:type="character" w:styleId="WWCharLFO24LVL4">
    <w:name w:val="WW_CharLFO24LVL4"/>
    <w:qFormat/>
    <w:rPr>
      <w:rFonts w:ascii="Symbol" w:hAnsi="Symbol"/>
    </w:rPr>
  </w:style>
  <w:style w:type="character" w:styleId="WWCharLFO24LVL5">
    <w:name w:val="WW_CharLFO24LVL5"/>
    <w:qFormat/>
    <w:rPr>
      <w:rFonts w:ascii="Courier New" w:hAnsi="Courier New" w:cs="Courier New"/>
    </w:rPr>
  </w:style>
  <w:style w:type="character" w:styleId="WWCharLFO24LVL6">
    <w:name w:val="WW_CharLFO24LVL6"/>
    <w:qFormat/>
    <w:rPr>
      <w:rFonts w:ascii="Wingdings" w:hAnsi="Wingdings"/>
    </w:rPr>
  </w:style>
  <w:style w:type="character" w:styleId="WWCharLFO24LVL7">
    <w:name w:val="WW_CharLFO24LVL7"/>
    <w:qFormat/>
    <w:rPr>
      <w:rFonts w:ascii="Symbol" w:hAnsi="Symbol"/>
    </w:rPr>
  </w:style>
  <w:style w:type="character" w:styleId="WWCharLFO24LVL8">
    <w:name w:val="WW_CharLFO24LVL8"/>
    <w:qFormat/>
    <w:rPr>
      <w:rFonts w:ascii="Courier New" w:hAnsi="Courier New" w:cs="Courier New"/>
    </w:rPr>
  </w:style>
  <w:style w:type="character" w:styleId="WWCharLFO24LVL9">
    <w:name w:val="WW_CharLFO24LVL9"/>
    <w:qFormat/>
    <w:rPr>
      <w:rFonts w:ascii="Wingdings" w:hAnsi="Wingdings"/>
    </w:rPr>
  </w:style>
  <w:style w:type="paragraph" w:styleId="Maximyz11">
    <w:name w:val="Maximyz Заголовок 1"/>
    <w:basedOn w:val="1"/>
    <w:qFormat/>
    <w:pPr>
      <w:keepLines/>
      <w:numPr>
        <w:ilvl w:val="0"/>
        <w:numId w:val="1"/>
      </w:numPr>
      <w:suppressAutoHyphens w:val="true"/>
      <w:spacing w:lineRule="auto" w:line="240" w:before="120" w:after="0"/>
      <w:outlineLvl w:val="0"/>
    </w:pPr>
    <w:rPr>
      <w:bCs w:val="false"/>
      <w:color w:val="000000"/>
      <w:kern w:val="0"/>
      <w:sz w:val="28"/>
      <w:szCs w:val="20"/>
    </w:rPr>
  </w:style>
  <w:style w:type="paragraph" w:styleId="23">
    <w:name w:val="ААУр2"/>
    <w:basedOn w:val="2"/>
    <w:qFormat/>
    <w:pPr>
      <w:keepNext w:val="false"/>
      <w:keepLines w:val="false"/>
      <w:widowControl w:val="false"/>
      <w:numPr>
        <w:ilvl w:val="1"/>
        <w:numId w:val="1"/>
      </w:numPr>
      <w:suppressAutoHyphens w:val="true"/>
      <w:spacing w:lineRule="auto" w:line="360" w:before="120" w:after="120"/>
      <w:jc w:val="center"/>
      <w:outlineLvl w:val="1"/>
    </w:pPr>
    <w:rPr>
      <w:sz w:val="26"/>
    </w:rPr>
  </w:style>
  <w:style w:type="paragraph" w:styleId="Style40">
    <w:name w:val="Обычный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276"/>
      <w:ind w:firstLine="709"/>
      <w:jc w:val="both"/>
      <w:textAlignment w:val="baseline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4"/>
      <w:sz w:val="24"/>
      <w:szCs w:val="22"/>
      <w:u w:val="none"/>
      <w:vertAlign w:val="baseline"/>
      <w:em w:val="none"/>
      <w:lang w:eastAsia="en-US" w:val="ru-RU" w:bidi="ar-SA"/>
    </w:rPr>
  </w:style>
  <w:style w:type="paragraph" w:styleId="Style41">
    <w:name w:val="Заголовок"/>
    <w:basedOn w:val="Normal"/>
    <w:next w:val="Style42"/>
    <w:qFormat/>
    <w:pPr>
      <w:keepNext w:val="true"/>
      <w:suppressAutoHyphens w:val="false"/>
      <w:spacing w:before="240" w:after="120"/>
    </w:pPr>
    <w:rPr>
      <w:rFonts w:ascii="Liberation Sans" w:hAnsi="Liberation Sans" w:eastAsia="Arial Unicode MS" w:cs="Tahoma"/>
      <w:sz w:val="28"/>
      <w:szCs w:val="28"/>
    </w:rPr>
  </w:style>
  <w:style w:type="paragraph" w:styleId="Style42">
    <w:name w:val="Body Text"/>
    <w:basedOn w:val="Style40"/>
    <w:pPr>
      <w:suppressAutoHyphens w:val="true"/>
      <w:spacing w:lineRule="auto" w:line="360" w:before="100" w:after="100"/>
    </w:pPr>
    <w:rPr>
      <w:b/>
      <w:color w:val="000000"/>
      <w:sz w:val="28"/>
      <w:szCs w:val="28"/>
    </w:rPr>
  </w:style>
  <w:style w:type="paragraph" w:styleId="Style43">
    <w:name w:val="Название объекта"/>
    <w:basedOn w:val="Style40"/>
    <w:next w:val="Style40"/>
    <w:qFormat/>
    <w:pPr>
      <w:suppressAutoHyphens w:val="true"/>
      <w:ind w:hanging="0"/>
    </w:pPr>
    <w:rPr>
      <w:bCs/>
      <w:szCs w:val="20"/>
    </w:rPr>
  </w:style>
  <w:style w:type="paragraph" w:styleId="Style44">
    <w:name w:val="Абзац списка"/>
    <w:basedOn w:val="Style40"/>
    <w:qFormat/>
    <w:pPr>
      <w:tabs>
        <w:tab w:val="clear" w:pos="709"/>
      </w:tabs>
      <w:suppressAutoHyphens w:val="true"/>
      <w:ind w:left="720" w:hanging="0"/>
    </w:pPr>
    <w:rPr>
      <w:rFonts w:ascii="Calibri" w:hAnsi="Calibri" w:eastAsia="Calibri" w:cs="Calibri"/>
      <w:sz w:val="22"/>
    </w:rPr>
  </w:style>
  <w:style w:type="paragraph" w:styleId="Style45">
    <w:name w:val="Без интервала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240"/>
      <w:jc w:val="left"/>
      <w:textAlignment w:val="baseline"/>
    </w:pPr>
    <w:rPr>
      <w:rFonts w:ascii="Calibri" w:hAnsi="Calibri" w:eastAsia="Calibri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2"/>
      <w:sz w:val="22"/>
      <w:szCs w:val="22"/>
      <w:u w:val="none"/>
      <w:vertAlign w:val="baseline"/>
      <w:em w:val="none"/>
      <w:lang w:eastAsia="en-US" w:val="ru-RU" w:bidi="ar-SA"/>
    </w:rPr>
  </w:style>
  <w:style w:type="paragraph" w:styleId="Style46">
    <w:name w:val="Header"/>
    <w:basedOn w:val="Style40"/>
    <w:pPr>
      <w:tabs>
        <w:tab w:val="clear" w:pos="709"/>
        <w:tab w:val="center" w:pos="4677" w:leader="none"/>
        <w:tab w:val="right" w:pos="9355" w:leader="none"/>
      </w:tabs>
      <w:suppressAutoHyphens w:val="true"/>
    </w:pPr>
    <w:rPr>
      <w:rFonts w:ascii="Calibri" w:hAnsi="Calibri" w:eastAsia="Calibri" w:cs="Calibri"/>
      <w:sz w:val="22"/>
    </w:rPr>
  </w:style>
  <w:style w:type="paragraph" w:styleId="Style47">
    <w:name w:val="Footer"/>
    <w:basedOn w:val="Style40"/>
    <w:pPr>
      <w:tabs>
        <w:tab w:val="clear" w:pos="709"/>
        <w:tab w:val="center" w:pos="4677" w:leader="none"/>
        <w:tab w:val="right" w:pos="9355" w:leader="none"/>
      </w:tabs>
      <w:suppressAutoHyphens w:val="true"/>
    </w:pPr>
    <w:rPr>
      <w:rFonts w:ascii="Calibri" w:hAnsi="Calibri" w:eastAsia="Calibri" w:cs="Calibri"/>
      <w:sz w:val="22"/>
    </w:rPr>
  </w:style>
  <w:style w:type="paragraph" w:styleId="Style48">
    <w:name w:val="Раздел"/>
    <w:basedOn w:val="Style40"/>
    <w:qFormat/>
    <w:pPr>
      <w:suppressAutoHyphens w:val="true"/>
    </w:pPr>
    <w:rPr>
      <w:b/>
      <w:sz w:val="26"/>
      <w:szCs w:val="24"/>
    </w:rPr>
  </w:style>
  <w:style w:type="paragraph" w:styleId="Style49">
    <w:name w:val="Глава"/>
    <w:basedOn w:val="Style44"/>
    <w:qFormat/>
    <w:pPr>
      <w:suppressAutoHyphens w:val="true"/>
      <w:ind w:left="0" w:right="-21" w:hanging="0"/>
    </w:pPr>
    <w:rPr>
      <w:rFonts w:ascii="Times New Roman" w:hAnsi="Times New Roman" w:eastAsia="Times New Roman" w:cs="Times New Roman"/>
      <w:b/>
      <w:sz w:val="24"/>
      <w:szCs w:val="24"/>
    </w:rPr>
  </w:style>
  <w:style w:type="paragraph" w:styleId="Style50">
    <w:name w:val="Текст выноски"/>
    <w:basedOn w:val="Style40"/>
    <w:qFormat/>
    <w:pPr>
      <w:suppressAutoHyphens w:val="true"/>
      <w:spacing w:lineRule="auto" w:line="240"/>
    </w:pPr>
    <w:rPr>
      <w:rFonts w:ascii="Tahoma" w:hAnsi="Tahoma" w:eastAsia="Tahoma" w:cs="Tahoma"/>
      <w:sz w:val="16"/>
      <w:szCs w:val="16"/>
    </w:rPr>
  </w:style>
  <w:style w:type="paragraph" w:styleId="Style51">
    <w:name w:val="Указатель"/>
    <w:basedOn w:val="Normal"/>
    <w:qFormat/>
    <w:pPr>
      <w:suppressLineNumbers/>
      <w:suppressAutoHyphens w:val="false"/>
    </w:pPr>
    <w:rPr/>
  </w:style>
  <w:style w:type="paragraph" w:styleId="16">
    <w:name w:val="TOC 1"/>
    <w:basedOn w:val="Style40"/>
    <w:next w:val="Style40"/>
    <w:autoRedefine/>
    <w:pPr>
      <w:tabs>
        <w:tab w:val="clear" w:pos="709"/>
        <w:tab w:val="left" w:pos="8789" w:leader="none"/>
      </w:tabs>
      <w:suppressAutoHyphens w:val="true"/>
      <w:ind w:left="709" w:right="428" w:hanging="709"/>
    </w:pPr>
    <w:rPr>
      <w:b/>
      <w:spacing w:val="1"/>
    </w:rPr>
  </w:style>
  <w:style w:type="paragraph" w:styleId="24">
    <w:name w:val="TOC 2"/>
    <w:basedOn w:val="Style40"/>
    <w:next w:val="Style40"/>
    <w:autoRedefine/>
    <w:pPr>
      <w:tabs>
        <w:tab w:val="clear" w:pos="709"/>
        <w:tab w:val="right" w:pos="9072" w:leader="dot"/>
      </w:tabs>
      <w:suppressAutoHyphens w:val="true"/>
      <w:spacing w:lineRule="auto" w:line="240"/>
      <w:ind w:left="709" w:right="428" w:hanging="709"/>
    </w:pPr>
    <w:rPr/>
  </w:style>
  <w:style w:type="paragraph" w:styleId="Lar2">
    <w:name w:val="lar2"/>
    <w:basedOn w:val="Style40"/>
    <w:qFormat/>
    <w:pPr>
      <w:suppressAutoHyphens w:val="true"/>
      <w:spacing w:lineRule="auto" w:line="240" w:before="100" w:after="100"/>
    </w:pPr>
    <w:rPr>
      <w:szCs w:val="24"/>
      <w:lang w:eastAsia="ru-RU"/>
    </w:rPr>
  </w:style>
  <w:style w:type="paragraph" w:styleId="Style52">
    <w:name w:val="Обычный (веб)"/>
    <w:basedOn w:val="Style40"/>
    <w:qFormat/>
    <w:pPr>
      <w:suppressAutoHyphens w:val="true"/>
      <w:spacing w:lineRule="auto" w:line="240" w:before="100" w:after="100"/>
    </w:pPr>
    <w:rPr>
      <w:szCs w:val="24"/>
      <w:lang w:eastAsia="ru-RU"/>
    </w:rPr>
  </w:style>
  <w:style w:type="paragraph" w:styleId="Dim1">
    <w:name w:val="dim1"/>
    <w:basedOn w:val="Style40"/>
    <w:qFormat/>
    <w:pPr>
      <w:suppressAutoHyphens w:val="true"/>
      <w:spacing w:lineRule="auto" w:line="240" w:before="100" w:after="100"/>
    </w:pPr>
    <w:rPr>
      <w:szCs w:val="24"/>
      <w:lang w:eastAsia="ru-RU"/>
    </w:rPr>
  </w:style>
  <w:style w:type="paragraph" w:styleId="Style110">
    <w:name w:val="Style1"/>
    <w:basedOn w:val="Style40"/>
    <w:qFormat/>
    <w:pPr>
      <w:widowControl w:val="false"/>
      <w:suppressAutoHyphens w:val="true"/>
      <w:autoSpaceDE w:val="false"/>
      <w:spacing w:lineRule="exact" w:line="408"/>
      <w:ind w:firstLine="422"/>
    </w:pPr>
    <w:rPr>
      <w:szCs w:val="24"/>
      <w:lang w:eastAsia="ru-RU"/>
    </w:rPr>
  </w:style>
  <w:style w:type="paragraph" w:styleId="Style210">
    <w:name w:val="Style2"/>
    <w:basedOn w:val="Style40"/>
    <w:qFormat/>
    <w:pPr>
      <w:widowControl w:val="false"/>
      <w:suppressAutoHyphens w:val="true"/>
      <w:autoSpaceDE w:val="false"/>
      <w:spacing w:lineRule="auto" w:line="240"/>
    </w:pPr>
    <w:rPr>
      <w:szCs w:val="24"/>
      <w:lang w:eastAsia="ru-RU"/>
    </w:rPr>
  </w:style>
  <w:style w:type="paragraph" w:styleId="Style410">
    <w:name w:val="Style4"/>
    <w:basedOn w:val="Style40"/>
    <w:qFormat/>
    <w:pPr>
      <w:widowControl w:val="false"/>
      <w:suppressAutoHyphens w:val="true"/>
      <w:autoSpaceDE w:val="false"/>
      <w:spacing w:lineRule="exact" w:line="300"/>
    </w:pPr>
    <w:rPr>
      <w:szCs w:val="24"/>
      <w:lang w:eastAsia="ru-RU"/>
    </w:rPr>
  </w:style>
  <w:style w:type="paragraph" w:styleId="Style61">
    <w:name w:val="Style6"/>
    <w:basedOn w:val="Style40"/>
    <w:qFormat/>
    <w:pPr>
      <w:widowControl w:val="false"/>
      <w:suppressAutoHyphens w:val="true"/>
      <w:autoSpaceDE w:val="false"/>
      <w:spacing w:lineRule="exact" w:line="302"/>
    </w:pPr>
    <w:rPr>
      <w:szCs w:val="24"/>
      <w:lang w:eastAsia="ru-RU"/>
    </w:rPr>
  </w:style>
  <w:style w:type="paragraph" w:styleId="17">
    <w:name w:val="Глава + Слева:  1"/>
    <w:basedOn w:val="Style40"/>
    <w:qFormat/>
    <w:pPr>
      <w:suppressAutoHyphens w:val="true"/>
      <w:ind w:firstLine="708"/>
    </w:pPr>
    <w:rPr>
      <w:b/>
    </w:rPr>
  </w:style>
  <w:style w:type="paragraph" w:styleId="Style53">
    <w:name w:val="ОснТекст"/>
    <w:basedOn w:val="Style40"/>
    <w:qFormat/>
    <w:pPr>
      <w:suppressAutoHyphens w:val="true"/>
      <w:ind w:firstLine="540"/>
    </w:pPr>
    <w:rPr>
      <w:szCs w:val="24"/>
    </w:rPr>
  </w:style>
  <w:style w:type="paragraph" w:styleId="18">
    <w:name w:val="Без интервала1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240"/>
      <w:jc w:val="left"/>
      <w:textAlignment w:val="baseline"/>
    </w:pPr>
    <w:rPr>
      <w:rFonts w:eastAsia="Times New Roman" w:ascii="Calibri" w:hAnsi="Calibri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2"/>
      <w:sz w:val="22"/>
      <w:szCs w:val="22"/>
      <w:u w:val="none"/>
      <w:vertAlign w:val="baseline"/>
      <w:em w:val="none"/>
      <w:lang w:eastAsia="en-US" w:val="ru-RU" w:bidi="ar-SA"/>
    </w:rPr>
  </w:style>
  <w:style w:type="paragraph" w:styleId="Style54">
    <w:name w:val="ТАБЛИЦЫ"/>
    <w:basedOn w:val="Style45"/>
    <w:qFormat/>
    <w:pPr>
      <w:suppressAutoHyphens w:val="true"/>
      <w:jc w:val="center"/>
    </w:pPr>
    <w:rPr/>
  </w:style>
  <w:style w:type="paragraph" w:styleId="Default">
    <w:name w:val="Default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true"/>
      <w:autoSpaceDE w:val="false"/>
      <w:bidi w:val="0"/>
      <w:snapToGrid w:val="true"/>
      <w:spacing w:lineRule="auto" w:line="240"/>
      <w:jc w:val="left"/>
      <w:textAlignment w:val="baseline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000000"/>
      <w:spacing w:val="0"/>
      <w:w w:val="100"/>
      <w:kern w:val="0"/>
      <w:position w:val="0"/>
      <w:sz w:val="24"/>
      <w:sz w:val="24"/>
      <w:szCs w:val="24"/>
      <w:u w:val="none"/>
      <w:vertAlign w:val="baseline"/>
      <w:em w:val="none"/>
      <w:lang w:eastAsia="en-US" w:val="ru-RU" w:bidi="ar-SA"/>
    </w:rPr>
  </w:style>
  <w:style w:type="paragraph" w:styleId="19">
    <w:name w:val="Абзац списка1"/>
    <w:basedOn w:val="Style40"/>
    <w:qFormat/>
    <w:pPr>
      <w:tabs>
        <w:tab w:val="clear" w:pos="709"/>
      </w:tabs>
      <w:suppressAutoHyphens w:val="true"/>
      <w:ind w:left="720" w:hanging="0"/>
    </w:pPr>
    <w:rPr>
      <w:sz w:val="20"/>
    </w:rPr>
  </w:style>
  <w:style w:type="paragraph" w:styleId="Font5">
    <w:name w:val="font5"/>
    <w:basedOn w:val="Style40"/>
    <w:qFormat/>
    <w:pPr>
      <w:suppressAutoHyphens w:val="true"/>
      <w:spacing w:lineRule="auto" w:line="240" w:before="100" w:after="100"/>
    </w:pPr>
    <w:rPr>
      <w:rFonts w:ascii="Arial CYR" w:hAnsi="Arial CYR" w:cs="Arial CYR"/>
      <w:sz w:val="16"/>
      <w:szCs w:val="16"/>
      <w:lang w:eastAsia="ru-RU"/>
    </w:rPr>
  </w:style>
  <w:style w:type="paragraph" w:styleId="Font6">
    <w:name w:val="font6"/>
    <w:basedOn w:val="Style40"/>
    <w:qFormat/>
    <w:pPr>
      <w:suppressAutoHyphens w:val="true"/>
      <w:spacing w:lineRule="auto" w:line="240" w:before="100" w:after="100"/>
    </w:pPr>
    <w:rPr>
      <w:rFonts w:ascii="Arial CYR" w:hAnsi="Arial CYR" w:cs="Arial CYR"/>
      <w:sz w:val="16"/>
      <w:szCs w:val="16"/>
      <w:lang w:eastAsia="ru-RU"/>
    </w:rPr>
  </w:style>
  <w:style w:type="paragraph" w:styleId="Xl65">
    <w:name w:val="xl65"/>
    <w:basedOn w:val="Style40"/>
    <w:qFormat/>
    <w:pPr>
      <w:suppressAutoHyphens w:val="true"/>
      <w:spacing w:lineRule="auto" w:line="240" w:before="100" w:after="100"/>
    </w:pPr>
    <w:rPr>
      <w:rFonts w:ascii="Arial CYR" w:hAnsi="Arial CYR" w:cs="Arial CYR"/>
      <w:color w:val="FF0000"/>
      <w:szCs w:val="24"/>
      <w:lang w:eastAsia="ru-RU"/>
    </w:rPr>
  </w:style>
  <w:style w:type="paragraph" w:styleId="Xl66">
    <w:name w:val="xl66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</w:pPr>
    <w:rPr>
      <w:sz w:val="16"/>
      <w:szCs w:val="16"/>
      <w:lang w:eastAsia="ru-RU"/>
    </w:rPr>
  </w:style>
  <w:style w:type="paragraph" w:styleId="Xl67">
    <w:name w:val="xl67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</w:pPr>
    <w:rPr>
      <w:sz w:val="16"/>
      <w:szCs w:val="16"/>
      <w:lang w:eastAsia="ru-RU"/>
    </w:rPr>
  </w:style>
  <w:style w:type="paragraph" w:styleId="Xl68">
    <w:name w:val="xl68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</w:pPr>
    <w:rPr>
      <w:sz w:val="16"/>
      <w:szCs w:val="16"/>
      <w:lang w:eastAsia="ru-RU"/>
    </w:rPr>
  </w:style>
  <w:style w:type="paragraph" w:styleId="Xl69">
    <w:name w:val="xl69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</w:pPr>
    <w:rPr>
      <w:rFonts w:ascii="Arial CYR" w:hAnsi="Arial CYR" w:cs="Arial CYR"/>
      <w:sz w:val="16"/>
      <w:szCs w:val="16"/>
      <w:lang w:eastAsia="ru-RU"/>
    </w:rPr>
  </w:style>
  <w:style w:type="paragraph" w:styleId="Xl70">
    <w:name w:val="xl70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</w:pPr>
    <w:rPr>
      <w:rFonts w:ascii="Arial CYR" w:hAnsi="Arial CYR" w:cs="Arial CYR"/>
      <w:sz w:val="16"/>
      <w:szCs w:val="16"/>
      <w:lang w:eastAsia="ru-RU"/>
    </w:rPr>
  </w:style>
  <w:style w:type="paragraph" w:styleId="Xl71">
    <w:name w:val="xl71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  <w:jc w:val="right"/>
    </w:pPr>
    <w:rPr>
      <w:sz w:val="16"/>
      <w:szCs w:val="16"/>
      <w:lang w:eastAsia="ru-RU"/>
    </w:rPr>
  </w:style>
  <w:style w:type="paragraph" w:styleId="Xl72">
    <w:name w:val="xl72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  <w:jc w:val="right"/>
    </w:pPr>
    <w:rPr>
      <w:sz w:val="16"/>
      <w:szCs w:val="16"/>
      <w:lang w:eastAsia="ru-RU"/>
    </w:rPr>
  </w:style>
  <w:style w:type="paragraph" w:styleId="Xl73">
    <w:name w:val="xl73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</w:pPr>
    <w:rPr>
      <w:sz w:val="16"/>
      <w:szCs w:val="16"/>
      <w:lang w:eastAsia="ru-RU"/>
    </w:rPr>
  </w:style>
  <w:style w:type="paragraph" w:styleId="Xl74">
    <w:name w:val="xl74"/>
    <w:basedOn w:val="Style40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true"/>
      <w:spacing w:lineRule="auto" w:line="240" w:before="100" w:after="100"/>
      <w:jc w:val="center"/>
      <w:textAlignment w:val="top"/>
    </w:pPr>
    <w:rPr>
      <w:sz w:val="16"/>
      <w:szCs w:val="16"/>
      <w:lang w:eastAsia="ru-RU"/>
    </w:rPr>
  </w:style>
  <w:style w:type="paragraph" w:styleId="Xl75">
    <w:name w:val="xl75"/>
    <w:basedOn w:val="Style40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true"/>
      <w:spacing w:lineRule="auto" w:line="240" w:before="100" w:after="100"/>
      <w:jc w:val="center"/>
      <w:textAlignment w:val="top"/>
    </w:pPr>
    <w:rPr>
      <w:b/>
      <w:bCs/>
      <w:color w:val="000000"/>
      <w:sz w:val="16"/>
      <w:szCs w:val="16"/>
      <w:lang w:eastAsia="ru-RU"/>
    </w:rPr>
  </w:style>
  <w:style w:type="paragraph" w:styleId="Xl76">
    <w:name w:val="xl76"/>
    <w:basedOn w:val="Style40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true"/>
      <w:spacing w:lineRule="auto" w:line="240" w:before="100" w:after="100"/>
      <w:jc w:val="center"/>
      <w:textAlignment w:val="top"/>
    </w:pPr>
    <w:rPr>
      <w:b/>
      <w:bCs/>
      <w:color w:val="000000"/>
      <w:sz w:val="16"/>
      <w:szCs w:val="16"/>
      <w:lang w:eastAsia="ru-RU"/>
    </w:rPr>
  </w:style>
  <w:style w:type="paragraph" w:styleId="Xl77">
    <w:name w:val="xl77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  <w:jc w:val="right"/>
    </w:pPr>
    <w:rPr>
      <w:sz w:val="16"/>
      <w:szCs w:val="16"/>
      <w:lang w:eastAsia="ru-RU"/>
    </w:rPr>
  </w:style>
  <w:style w:type="paragraph" w:styleId="Xl78">
    <w:name w:val="xl78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</w:pPr>
    <w:rPr>
      <w:rFonts w:ascii="Arial CYR" w:hAnsi="Arial CYR" w:cs="Arial CYR"/>
      <w:sz w:val="16"/>
      <w:szCs w:val="16"/>
      <w:lang w:eastAsia="ru-RU"/>
    </w:rPr>
  </w:style>
  <w:style w:type="paragraph" w:styleId="Xl79">
    <w:name w:val="xl79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</w:pPr>
    <w:rPr>
      <w:rFonts w:ascii="Arial CYR" w:hAnsi="Arial CYR" w:cs="Arial CYR"/>
      <w:sz w:val="16"/>
      <w:szCs w:val="16"/>
      <w:lang w:eastAsia="ru-RU"/>
    </w:rPr>
  </w:style>
  <w:style w:type="paragraph" w:styleId="Xl80">
    <w:name w:val="xl80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</w:pPr>
    <w:rPr>
      <w:rFonts w:ascii="Arial CYR" w:hAnsi="Arial CYR" w:cs="Arial CYR"/>
      <w:sz w:val="16"/>
      <w:szCs w:val="16"/>
      <w:lang w:eastAsia="ru-RU"/>
    </w:rPr>
  </w:style>
  <w:style w:type="paragraph" w:styleId="Xl81">
    <w:name w:val="xl81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</w:pPr>
    <w:rPr>
      <w:rFonts w:ascii="Arial CYR" w:hAnsi="Arial CYR" w:cs="Arial CYR"/>
      <w:sz w:val="16"/>
      <w:szCs w:val="16"/>
      <w:lang w:eastAsia="ru-RU"/>
    </w:rPr>
  </w:style>
  <w:style w:type="paragraph" w:styleId="Xl82">
    <w:name w:val="xl82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  <w:jc w:val="right"/>
    </w:pPr>
    <w:rPr>
      <w:sz w:val="16"/>
      <w:szCs w:val="16"/>
      <w:lang w:eastAsia="ru-RU"/>
    </w:rPr>
  </w:style>
  <w:style w:type="paragraph" w:styleId="Xl83">
    <w:name w:val="xl83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  <w:jc w:val="right"/>
    </w:pPr>
    <w:rPr>
      <w:sz w:val="16"/>
      <w:szCs w:val="16"/>
      <w:lang w:eastAsia="ru-RU"/>
    </w:rPr>
  </w:style>
  <w:style w:type="paragraph" w:styleId="Xl84">
    <w:name w:val="xl84"/>
    <w:basedOn w:val="Style40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true"/>
      <w:spacing w:lineRule="auto" w:line="240" w:before="100" w:after="100"/>
    </w:pPr>
    <w:rPr>
      <w:rFonts w:ascii="Arial CYR" w:hAnsi="Arial CYR" w:cs="Arial CYR"/>
      <w:sz w:val="16"/>
      <w:szCs w:val="16"/>
      <w:lang w:eastAsia="ru-RU"/>
    </w:rPr>
  </w:style>
  <w:style w:type="paragraph" w:styleId="Xl85">
    <w:name w:val="xl85"/>
    <w:basedOn w:val="Style40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true"/>
      <w:spacing w:lineRule="auto" w:line="240" w:before="100" w:after="100"/>
    </w:pPr>
    <w:rPr>
      <w:sz w:val="16"/>
      <w:szCs w:val="16"/>
      <w:lang w:eastAsia="ru-RU"/>
    </w:rPr>
  </w:style>
  <w:style w:type="paragraph" w:styleId="Xl86">
    <w:name w:val="xl86"/>
    <w:basedOn w:val="Style40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true"/>
      <w:spacing w:lineRule="auto" w:line="240" w:before="100" w:after="100"/>
    </w:pPr>
    <w:rPr>
      <w:sz w:val="16"/>
      <w:szCs w:val="16"/>
      <w:lang w:eastAsia="ru-RU"/>
    </w:rPr>
  </w:style>
  <w:style w:type="paragraph" w:styleId="Xl87">
    <w:name w:val="xl87"/>
    <w:basedOn w:val="Style40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true"/>
      <w:spacing w:lineRule="auto" w:line="240" w:before="100" w:after="100"/>
    </w:pPr>
    <w:rPr>
      <w:sz w:val="16"/>
      <w:szCs w:val="16"/>
      <w:lang w:eastAsia="ru-RU"/>
    </w:rPr>
  </w:style>
  <w:style w:type="paragraph" w:styleId="Xl88">
    <w:name w:val="xl88"/>
    <w:basedOn w:val="Style40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true"/>
      <w:spacing w:lineRule="auto" w:line="240" w:before="100" w:after="100"/>
      <w:jc w:val="right"/>
    </w:pPr>
    <w:rPr>
      <w:b/>
      <w:bCs/>
      <w:i/>
      <w:iCs/>
      <w:color w:val="000000"/>
      <w:sz w:val="16"/>
      <w:szCs w:val="16"/>
      <w:lang w:eastAsia="ru-RU"/>
    </w:rPr>
  </w:style>
  <w:style w:type="paragraph" w:styleId="Xl89">
    <w:name w:val="xl89"/>
    <w:basedOn w:val="Style40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true"/>
      <w:spacing w:lineRule="auto" w:line="240" w:before="100" w:after="100"/>
      <w:jc w:val="right"/>
    </w:pPr>
    <w:rPr>
      <w:b/>
      <w:bCs/>
      <w:i/>
      <w:iCs/>
      <w:color w:val="000000"/>
      <w:sz w:val="16"/>
      <w:szCs w:val="16"/>
      <w:lang w:eastAsia="ru-RU"/>
    </w:rPr>
  </w:style>
  <w:style w:type="paragraph" w:styleId="Xl90">
    <w:name w:val="xl90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</w:pPr>
    <w:rPr>
      <w:sz w:val="16"/>
      <w:szCs w:val="16"/>
      <w:lang w:eastAsia="ru-RU"/>
    </w:rPr>
  </w:style>
  <w:style w:type="paragraph" w:styleId="Xl91">
    <w:name w:val="xl91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</w:pPr>
    <w:rPr>
      <w:sz w:val="16"/>
      <w:szCs w:val="16"/>
      <w:lang w:eastAsia="ru-RU"/>
    </w:rPr>
  </w:style>
  <w:style w:type="paragraph" w:styleId="Xl92">
    <w:name w:val="xl92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</w:pPr>
    <w:rPr>
      <w:sz w:val="16"/>
      <w:szCs w:val="16"/>
      <w:lang w:eastAsia="ru-RU"/>
    </w:rPr>
  </w:style>
  <w:style w:type="paragraph" w:styleId="Xl93">
    <w:name w:val="xl93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</w:pPr>
    <w:rPr>
      <w:sz w:val="16"/>
      <w:szCs w:val="16"/>
      <w:lang w:eastAsia="ru-RU"/>
    </w:rPr>
  </w:style>
  <w:style w:type="paragraph" w:styleId="Xl94">
    <w:name w:val="xl94"/>
    <w:basedOn w:val="Style40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true"/>
      <w:spacing w:lineRule="auto" w:line="240" w:before="100" w:after="100"/>
      <w:jc w:val="center"/>
      <w:textAlignment w:val="top"/>
    </w:pPr>
    <w:rPr>
      <w:rFonts w:ascii="Arial CYR" w:hAnsi="Arial CYR" w:cs="Arial CYR"/>
      <w:sz w:val="16"/>
      <w:szCs w:val="16"/>
      <w:lang w:eastAsia="ru-RU"/>
    </w:rPr>
  </w:style>
  <w:style w:type="paragraph" w:styleId="Xl95">
    <w:name w:val="xl95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</w:pPr>
    <w:rPr>
      <w:rFonts w:ascii="Arial CYR" w:hAnsi="Arial CYR" w:cs="Arial CYR"/>
      <w:sz w:val="16"/>
      <w:szCs w:val="16"/>
      <w:lang w:eastAsia="ru-RU"/>
    </w:rPr>
  </w:style>
  <w:style w:type="paragraph" w:styleId="Xl96">
    <w:name w:val="xl96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</w:pPr>
    <w:rPr>
      <w:rFonts w:ascii="Arial CYR" w:hAnsi="Arial CYR" w:cs="Arial CYR"/>
      <w:sz w:val="16"/>
      <w:szCs w:val="16"/>
      <w:lang w:eastAsia="ru-RU"/>
    </w:rPr>
  </w:style>
  <w:style w:type="paragraph" w:styleId="Xl97">
    <w:name w:val="xl97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</w:pPr>
    <w:rPr>
      <w:rFonts w:ascii="Arial CYR" w:hAnsi="Arial CYR" w:cs="Arial CYR"/>
      <w:sz w:val="16"/>
      <w:szCs w:val="16"/>
      <w:lang w:eastAsia="ru-RU"/>
    </w:rPr>
  </w:style>
  <w:style w:type="paragraph" w:styleId="Xl98">
    <w:name w:val="xl98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</w:pPr>
    <w:rPr>
      <w:rFonts w:ascii="Arial CYR" w:hAnsi="Arial CYR" w:cs="Arial CYR"/>
      <w:sz w:val="16"/>
      <w:szCs w:val="16"/>
      <w:lang w:eastAsia="ru-RU"/>
    </w:rPr>
  </w:style>
  <w:style w:type="paragraph" w:styleId="Xl99">
    <w:name w:val="xl99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  <w:jc w:val="right"/>
    </w:pPr>
    <w:rPr>
      <w:rFonts w:ascii="Arial CYR" w:hAnsi="Arial CYR" w:cs="Arial CYR"/>
      <w:sz w:val="16"/>
      <w:szCs w:val="16"/>
      <w:lang w:eastAsia="ru-RU"/>
    </w:rPr>
  </w:style>
  <w:style w:type="paragraph" w:styleId="Xl100">
    <w:name w:val="xl100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  <w:jc w:val="right"/>
    </w:pPr>
    <w:rPr>
      <w:rFonts w:ascii="Arial CYR" w:hAnsi="Arial CYR" w:cs="Arial CYR"/>
      <w:sz w:val="16"/>
      <w:szCs w:val="16"/>
      <w:lang w:eastAsia="ru-RU"/>
    </w:rPr>
  </w:style>
  <w:style w:type="paragraph" w:styleId="Xl101">
    <w:name w:val="xl101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  <w:jc w:val="right"/>
    </w:pPr>
    <w:rPr>
      <w:rFonts w:ascii="Arial CYR" w:hAnsi="Arial CYR" w:cs="Arial CYR"/>
      <w:sz w:val="16"/>
      <w:szCs w:val="16"/>
      <w:lang w:eastAsia="ru-RU"/>
    </w:rPr>
  </w:style>
  <w:style w:type="paragraph" w:styleId="Xl102">
    <w:name w:val="xl102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  <w:jc w:val="right"/>
    </w:pPr>
    <w:rPr>
      <w:sz w:val="16"/>
      <w:szCs w:val="16"/>
      <w:lang w:eastAsia="ru-RU"/>
    </w:rPr>
  </w:style>
  <w:style w:type="paragraph" w:styleId="Xl103">
    <w:name w:val="xl103"/>
    <w:basedOn w:val="Style40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true"/>
      <w:spacing w:lineRule="auto" w:line="240" w:before="100" w:after="100"/>
      <w:jc w:val="right"/>
    </w:pPr>
    <w:rPr>
      <w:b/>
      <w:bCs/>
      <w:i/>
      <w:iCs/>
      <w:color w:val="000000"/>
      <w:sz w:val="16"/>
      <w:szCs w:val="16"/>
      <w:lang w:eastAsia="ru-RU"/>
    </w:rPr>
  </w:style>
  <w:style w:type="paragraph" w:styleId="Xl104">
    <w:name w:val="xl104"/>
    <w:basedOn w:val="Style40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true"/>
      <w:spacing w:lineRule="auto" w:line="240" w:before="100" w:after="100"/>
      <w:jc w:val="center"/>
      <w:textAlignment w:val="top"/>
    </w:pPr>
    <w:rPr>
      <w:sz w:val="16"/>
      <w:szCs w:val="16"/>
      <w:lang w:eastAsia="ru-RU"/>
    </w:rPr>
  </w:style>
  <w:style w:type="paragraph" w:styleId="Xl105">
    <w:name w:val="xl105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</w:pPr>
    <w:rPr>
      <w:rFonts w:ascii="Arial CYR" w:hAnsi="Arial CYR" w:cs="Arial CYR"/>
      <w:sz w:val="16"/>
      <w:szCs w:val="16"/>
      <w:lang w:eastAsia="ru-RU"/>
    </w:rPr>
  </w:style>
  <w:style w:type="paragraph" w:styleId="Xl106">
    <w:name w:val="xl106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</w:pPr>
    <w:rPr>
      <w:rFonts w:ascii="Arial CYR" w:hAnsi="Arial CYR" w:cs="Arial CYR"/>
      <w:sz w:val="16"/>
      <w:szCs w:val="16"/>
      <w:lang w:eastAsia="ru-RU"/>
    </w:rPr>
  </w:style>
  <w:style w:type="paragraph" w:styleId="Xl107">
    <w:name w:val="xl107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</w:pPr>
    <w:rPr>
      <w:rFonts w:ascii="Arial CYR" w:hAnsi="Arial CYR" w:cs="Arial CYR"/>
      <w:sz w:val="16"/>
      <w:szCs w:val="16"/>
      <w:lang w:eastAsia="ru-RU"/>
    </w:rPr>
  </w:style>
  <w:style w:type="paragraph" w:styleId="Xl108">
    <w:name w:val="xl108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</w:pPr>
    <w:rPr>
      <w:rFonts w:ascii="Arial CYR" w:hAnsi="Arial CYR" w:cs="Arial CYR"/>
      <w:sz w:val="16"/>
      <w:szCs w:val="16"/>
      <w:lang w:eastAsia="ru-RU"/>
    </w:rPr>
  </w:style>
  <w:style w:type="paragraph" w:styleId="Xl109">
    <w:name w:val="xl109"/>
    <w:basedOn w:val="Style40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true"/>
      <w:spacing w:lineRule="auto" w:line="240" w:before="100" w:after="100"/>
    </w:pPr>
    <w:rPr>
      <w:b/>
      <w:bCs/>
      <w:sz w:val="16"/>
      <w:szCs w:val="16"/>
      <w:lang w:eastAsia="ru-RU"/>
    </w:rPr>
  </w:style>
  <w:style w:type="paragraph" w:styleId="Xl110">
    <w:name w:val="xl110"/>
    <w:basedOn w:val="Style40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true"/>
      <w:spacing w:lineRule="auto" w:line="240" w:before="100" w:after="100"/>
    </w:pPr>
    <w:rPr>
      <w:b/>
      <w:bCs/>
      <w:color w:val="000000"/>
      <w:sz w:val="16"/>
      <w:szCs w:val="16"/>
      <w:lang w:eastAsia="ru-RU"/>
    </w:rPr>
  </w:style>
  <w:style w:type="paragraph" w:styleId="Xl111">
    <w:name w:val="xl111"/>
    <w:basedOn w:val="Style40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true"/>
      <w:spacing w:lineRule="auto" w:line="240" w:before="100" w:after="100"/>
    </w:pPr>
    <w:rPr>
      <w:rFonts w:ascii="Arial CYR" w:hAnsi="Arial CYR" w:cs="Arial CYR"/>
      <w:color w:val="000000"/>
      <w:sz w:val="16"/>
      <w:szCs w:val="16"/>
      <w:lang w:eastAsia="ru-RU"/>
    </w:rPr>
  </w:style>
  <w:style w:type="paragraph" w:styleId="Xl112">
    <w:name w:val="xl112"/>
    <w:basedOn w:val="Style40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true"/>
      <w:spacing w:lineRule="auto" w:line="240" w:before="100" w:after="100"/>
    </w:pPr>
    <w:rPr>
      <w:b/>
      <w:bCs/>
      <w:i/>
      <w:iCs/>
      <w:color w:val="000000"/>
      <w:sz w:val="16"/>
      <w:szCs w:val="16"/>
      <w:lang w:eastAsia="ru-RU"/>
    </w:rPr>
  </w:style>
  <w:style w:type="paragraph" w:styleId="Xl113">
    <w:name w:val="xl113"/>
    <w:basedOn w:val="Style40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true"/>
      <w:spacing w:lineRule="auto" w:line="240" w:before="100" w:after="100"/>
    </w:pPr>
    <w:rPr>
      <w:b/>
      <w:bCs/>
      <w:i/>
      <w:iCs/>
      <w:color w:val="000000"/>
      <w:sz w:val="16"/>
      <w:szCs w:val="16"/>
      <w:lang w:eastAsia="ru-RU"/>
    </w:rPr>
  </w:style>
  <w:style w:type="paragraph" w:styleId="Xl114">
    <w:name w:val="xl114"/>
    <w:basedOn w:val="Style40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true"/>
      <w:spacing w:lineRule="auto" w:line="240" w:before="100" w:after="100"/>
    </w:pPr>
    <w:rPr>
      <w:b/>
      <w:bCs/>
      <w:i/>
      <w:iCs/>
      <w:color w:val="000000"/>
      <w:sz w:val="16"/>
      <w:szCs w:val="16"/>
      <w:lang w:eastAsia="ru-RU"/>
    </w:rPr>
  </w:style>
  <w:style w:type="paragraph" w:styleId="MTDisplayEquation1">
    <w:name w:val="MTDisplayEquation"/>
    <w:basedOn w:val="Style40"/>
    <w:next w:val="Style40"/>
    <w:qFormat/>
    <w:pPr>
      <w:tabs>
        <w:tab w:val="clear" w:pos="709"/>
        <w:tab w:val="center" w:pos="4680" w:leader="none"/>
        <w:tab w:val="right" w:pos="9360" w:leader="none"/>
      </w:tabs>
      <w:suppressAutoHyphens w:val="true"/>
    </w:pPr>
    <w:rPr/>
  </w:style>
  <w:style w:type="paragraph" w:styleId="Style55">
    <w:name w:val="Схема документа"/>
    <w:basedOn w:val="Style40"/>
    <w:qFormat/>
    <w:pPr>
      <w:suppressAutoHyphens w:val="true"/>
    </w:pPr>
    <w:rPr>
      <w:rFonts w:ascii="Tahoma" w:hAnsi="Tahoma" w:eastAsia="Tahoma" w:cs="Tahoma"/>
      <w:sz w:val="16"/>
      <w:szCs w:val="16"/>
    </w:rPr>
  </w:style>
  <w:style w:type="paragraph" w:styleId="Style56">
    <w:name w:val="Рецензия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lineRule="auto" w:line="240"/>
      <w:jc w:val="left"/>
      <w:textAlignment w:val="baseline"/>
    </w:pPr>
    <w:rPr>
      <w:rFonts w:ascii="Calibri" w:hAnsi="Calibri" w:eastAsia="Calibri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2"/>
      <w:sz w:val="22"/>
      <w:szCs w:val="22"/>
      <w:u w:val="none"/>
      <w:vertAlign w:val="baseline"/>
      <w:em w:val="none"/>
      <w:lang w:eastAsia="en-US" w:val="ru-RU" w:bidi="ar-SA"/>
    </w:rPr>
  </w:style>
  <w:style w:type="paragraph" w:styleId="Style57">
    <w:name w:val="TOA Heading"/>
    <w:basedOn w:val="1"/>
    <w:next w:val="Style40"/>
    <w:pPr>
      <w:keepLines/>
      <w:suppressAutoHyphens w:val="true"/>
      <w:spacing w:before="480" w:after="0"/>
      <w:outlineLvl w:val="0"/>
    </w:pPr>
    <w:rPr>
      <w:color w:val="365F91"/>
      <w:kern w:val="0"/>
      <w:sz w:val="28"/>
      <w:szCs w:val="28"/>
    </w:rPr>
  </w:style>
  <w:style w:type="paragraph" w:styleId="32">
    <w:name w:val="TOC 3"/>
    <w:basedOn w:val="Style40"/>
    <w:next w:val="Style40"/>
    <w:autoRedefine/>
    <w:pPr>
      <w:tabs>
        <w:tab w:val="clear" w:pos="709"/>
      </w:tabs>
      <w:suppressAutoHyphens w:val="true"/>
      <w:ind w:left="440" w:hanging="0"/>
    </w:pPr>
    <w:rPr/>
  </w:style>
  <w:style w:type="paragraph" w:styleId="Style81">
    <w:name w:val="Style8"/>
    <w:basedOn w:val="Style40"/>
    <w:qFormat/>
    <w:pPr>
      <w:widowControl w:val="false"/>
      <w:suppressAutoHyphens w:val="true"/>
      <w:autoSpaceDE w:val="false"/>
      <w:spacing w:lineRule="auto" w:line="240"/>
    </w:pPr>
    <w:rPr>
      <w:rFonts w:eastAsia="Arial Unicode MS"/>
      <w:kern w:val="2"/>
      <w:szCs w:val="24"/>
      <w:lang w:eastAsia="hi-IN" w:bidi="hi-IN"/>
    </w:rPr>
  </w:style>
  <w:style w:type="paragraph" w:styleId="42">
    <w:name w:val="TOC 4"/>
    <w:basedOn w:val="Style40"/>
    <w:next w:val="Style40"/>
    <w:autoRedefine/>
    <w:pPr>
      <w:tabs>
        <w:tab w:val="clear" w:pos="709"/>
      </w:tabs>
      <w:suppressAutoHyphens w:val="true"/>
      <w:spacing w:before="0" w:after="100"/>
      <w:ind w:left="660" w:hanging="0"/>
    </w:pPr>
    <w:rPr>
      <w:lang w:eastAsia="ru-RU"/>
    </w:rPr>
  </w:style>
  <w:style w:type="paragraph" w:styleId="5">
    <w:name w:val="TOC 5"/>
    <w:basedOn w:val="Style40"/>
    <w:next w:val="Style40"/>
    <w:autoRedefine/>
    <w:pPr>
      <w:tabs>
        <w:tab w:val="clear" w:pos="709"/>
      </w:tabs>
      <w:suppressAutoHyphens w:val="true"/>
      <w:spacing w:before="0" w:after="100"/>
      <w:ind w:left="880" w:hanging="0"/>
    </w:pPr>
    <w:rPr>
      <w:lang w:eastAsia="ru-RU"/>
    </w:rPr>
  </w:style>
  <w:style w:type="paragraph" w:styleId="6">
    <w:name w:val="TOC 6"/>
    <w:basedOn w:val="Style40"/>
    <w:next w:val="Style40"/>
    <w:autoRedefine/>
    <w:pPr>
      <w:tabs>
        <w:tab w:val="clear" w:pos="709"/>
      </w:tabs>
      <w:suppressAutoHyphens w:val="true"/>
      <w:spacing w:before="0" w:after="100"/>
      <w:ind w:left="1100" w:hanging="0"/>
    </w:pPr>
    <w:rPr>
      <w:lang w:eastAsia="ru-RU"/>
    </w:rPr>
  </w:style>
  <w:style w:type="paragraph" w:styleId="72">
    <w:name w:val="TOC 7"/>
    <w:basedOn w:val="Style40"/>
    <w:next w:val="Style40"/>
    <w:autoRedefine/>
    <w:pPr>
      <w:tabs>
        <w:tab w:val="clear" w:pos="709"/>
      </w:tabs>
      <w:suppressAutoHyphens w:val="true"/>
      <w:spacing w:before="0" w:after="100"/>
      <w:ind w:left="1320" w:hanging="0"/>
    </w:pPr>
    <w:rPr>
      <w:lang w:eastAsia="ru-RU"/>
    </w:rPr>
  </w:style>
  <w:style w:type="paragraph" w:styleId="8">
    <w:name w:val="TOC 8"/>
    <w:basedOn w:val="Style40"/>
    <w:next w:val="Style40"/>
    <w:autoRedefine/>
    <w:pPr>
      <w:tabs>
        <w:tab w:val="clear" w:pos="709"/>
      </w:tabs>
      <w:suppressAutoHyphens w:val="true"/>
      <w:spacing w:before="0" w:after="100"/>
      <w:ind w:left="1540" w:hanging="0"/>
    </w:pPr>
    <w:rPr>
      <w:lang w:eastAsia="ru-RU"/>
    </w:rPr>
  </w:style>
  <w:style w:type="paragraph" w:styleId="9">
    <w:name w:val="TOC 9"/>
    <w:basedOn w:val="Style40"/>
    <w:next w:val="Style40"/>
    <w:autoRedefine/>
    <w:pPr>
      <w:tabs>
        <w:tab w:val="clear" w:pos="709"/>
      </w:tabs>
      <w:suppressAutoHyphens w:val="true"/>
      <w:spacing w:before="0" w:after="100"/>
      <w:ind w:left="1760" w:hanging="0"/>
    </w:pPr>
    <w:rPr>
      <w:lang w:eastAsia="ru-RU"/>
    </w:rPr>
  </w:style>
  <w:style w:type="paragraph" w:styleId="25">
    <w:name w:val="Основной текст с отступом 2"/>
    <w:basedOn w:val="Style40"/>
    <w:qFormat/>
    <w:pPr>
      <w:tabs>
        <w:tab w:val="clear" w:pos="709"/>
      </w:tabs>
      <w:suppressAutoHyphens w:val="true"/>
      <w:spacing w:lineRule="auto" w:line="480" w:before="0" w:after="120"/>
      <w:ind w:left="283" w:hanging="0"/>
    </w:pPr>
    <w:rPr/>
  </w:style>
  <w:style w:type="paragraph" w:styleId="S">
    <w:name w:val="S_Обычный жирный"/>
    <w:basedOn w:val="Style40"/>
    <w:qFormat/>
    <w:pPr>
      <w:suppressAutoHyphens w:val="true"/>
      <w:spacing w:lineRule="auto" w:line="240"/>
    </w:pPr>
    <w:rPr>
      <w:sz w:val="28"/>
      <w:szCs w:val="24"/>
      <w:lang w:eastAsia="ru-RU"/>
    </w:rPr>
  </w:style>
  <w:style w:type="paragraph" w:styleId="Style58">
    <w:name w:val="Абзац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before="120" w:after="60" w:lineRule="auto" w:line="240"/>
      <w:ind w:firstLine="567"/>
      <w:jc w:val="both"/>
      <w:textAlignment w:val="baseline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4"/>
      <w:sz w:val="24"/>
      <w:szCs w:val="24"/>
      <w:u w:val="none"/>
      <w:vertAlign w:val="baseline"/>
      <w:em w:val="none"/>
      <w:lang w:val="ru-RU" w:eastAsia="ru-RU" w:bidi="ar-SA"/>
    </w:rPr>
  </w:style>
  <w:style w:type="paragraph" w:styleId="Style59">
    <w:name w:val="Текст сноски"/>
    <w:basedOn w:val="Style40"/>
    <w:qFormat/>
    <w:pPr>
      <w:widowControl w:val="false"/>
      <w:suppressAutoHyphens w:val="true"/>
      <w:autoSpaceDE w:val="false"/>
      <w:spacing w:lineRule="auto" w:line="240" w:before="120" w:after="0"/>
      <w:ind w:firstLine="720"/>
    </w:pPr>
    <w:rPr>
      <w:sz w:val="20"/>
      <w:szCs w:val="20"/>
      <w:lang w:eastAsia="ar-SA"/>
    </w:rPr>
  </w:style>
  <w:style w:type="paragraph" w:styleId="Style60">
    <w:name w:val="Subtitle"/>
    <w:basedOn w:val="Style40"/>
    <w:next w:val="Style40"/>
    <w:qFormat/>
    <w:pPr>
      <w:suppressAutoHyphens w:val="true"/>
      <w:spacing w:before="0" w:after="200"/>
      <w:jc w:val="left"/>
    </w:pPr>
    <w:rPr>
      <w:rFonts w:ascii="Cambria" w:hAnsi="Cambria" w:cs="Cambria"/>
      <w:i/>
      <w:iCs/>
      <w:color w:val="4F81BD"/>
      <w:spacing w:val="15"/>
      <w:szCs w:val="24"/>
      <w:lang w:eastAsia="ru-RU"/>
    </w:rPr>
  </w:style>
  <w:style w:type="paragraph" w:styleId="Font0">
    <w:name w:val="font0"/>
    <w:basedOn w:val="Style40"/>
    <w:qFormat/>
    <w:pPr>
      <w:suppressAutoHyphens w:val="true"/>
      <w:spacing w:lineRule="auto" w:line="240" w:before="100" w:after="100"/>
      <w:ind w:hanging="0"/>
      <w:jc w:val="left"/>
    </w:pPr>
    <w:rPr>
      <w:rFonts w:ascii="Calibri" w:hAnsi="Calibri" w:cs="Calibri"/>
      <w:color w:val="000000"/>
      <w:sz w:val="22"/>
      <w:lang w:eastAsia="ru-RU"/>
    </w:rPr>
  </w:style>
  <w:style w:type="paragraph" w:styleId="Xl63">
    <w:name w:val="xl63"/>
    <w:basedOn w:val="Style40"/>
    <w:qFormat/>
    <w:pPr>
      <w:shd w:fill="FFFFFF" w:val="clear"/>
      <w:suppressAutoHyphens w:val="true"/>
      <w:spacing w:lineRule="auto" w:line="240" w:before="100" w:after="100"/>
      <w:ind w:hanging="0"/>
      <w:jc w:val="left"/>
    </w:pPr>
    <w:rPr>
      <w:rFonts w:ascii="Arial CYR" w:hAnsi="Arial CYR" w:cs="Arial CYR"/>
      <w:color w:val="FF0000"/>
      <w:sz w:val="20"/>
      <w:szCs w:val="20"/>
      <w:lang w:eastAsia="ru-RU"/>
    </w:rPr>
  </w:style>
  <w:style w:type="paragraph" w:styleId="Xl64">
    <w:name w:val="xl64"/>
    <w:basedOn w:val="Style40"/>
    <w:qFormat/>
    <w:pPr>
      <w:shd w:fill="FFFFFF" w:val="clear"/>
      <w:suppressAutoHyphens w:val="true"/>
      <w:spacing w:lineRule="auto" w:line="240" w:before="100" w:after="100"/>
      <w:ind w:hanging="0"/>
      <w:jc w:val="center"/>
    </w:pPr>
    <w:rPr>
      <w:rFonts w:ascii="Arial CYR" w:hAnsi="Arial CYR" w:cs="Arial CYR"/>
      <w:color w:val="FF0000"/>
      <w:sz w:val="16"/>
      <w:szCs w:val="16"/>
      <w:lang w:eastAsia="ru-RU"/>
    </w:rPr>
  </w:style>
  <w:style w:type="paragraph" w:styleId="Xl115">
    <w:name w:val="xl115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left"/>
    </w:pPr>
    <w:rPr>
      <w:szCs w:val="24"/>
      <w:lang w:eastAsia="ru-RU"/>
    </w:rPr>
  </w:style>
  <w:style w:type="paragraph" w:styleId="Xl116">
    <w:name w:val="xl116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center"/>
    </w:pPr>
    <w:rPr>
      <w:szCs w:val="24"/>
      <w:lang w:eastAsia="ru-RU"/>
    </w:rPr>
  </w:style>
  <w:style w:type="paragraph" w:styleId="Xl117">
    <w:name w:val="xl117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center"/>
    </w:pPr>
    <w:rPr>
      <w:rFonts w:ascii="Arial CYR" w:hAnsi="Arial CYR" w:cs="Arial CYR"/>
      <w:sz w:val="18"/>
      <w:szCs w:val="18"/>
      <w:lang w:eastAsia="ru-RU"/>
    </w:rPr>
  </w:style>
  <w:style w:type="paragraph" w:styleId="Xl118">
    <w:name w:val="xl118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left"/>
    </w:pPr>
    <w:rPr>
      <w:rFonts w:ascii="Arial CYR" w:hAnsi="Arial CYR" w:cs="Arial CYR"/>
      <w:sz w:val="16"/>
      <w:szCs w:val="16"/>
      <w:lang w:eastAsia="ru-RU"/>
    </w:rPr>
  </w:style>
  <w:style w:type="paragraph" w:styleId="Xl119">
    <w:name w:val="xl119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left"/>
    </w:pPr>
    <w:rPr>
      <w:szCs w:val="24"/>
      <w:lang w:eastAsia="ru-RU"/>
    </w:rPr>
  </w:style>
  <w:style w:type="paragraph" w:styleId="Xl120">
    <w:name w:val="xl120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left"/>
      <w:textAlignment w:val="center"/>
    </w:pPr>
    <w:rPr>
      <w:szCs w:val="24"/>
      <w:lang w:eastAsia="ru-RU"/>
    </w:rPr>
  </w:style>
  <w:style w:type="paragraph" w:styleId="Xl121">
    <w:name w:val="xl121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right"/>
    </w:pPr>
    <w:rPr>
      <w:szCs w:val="24"/>
      <w:lang w:eastAsia="ru-RU"/>
    </w:rPr>
  </w:style>
  <w:style w:type="paragraph" w:styleId="Xl122">
    <w:name w:val="xl122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left"/>
    </w:pPr>
    <w:rPr>
      <w:sz w:val="20"/>
      <w:szCs w:val="20"/>
      <w:lang w:eastAsia="ru-RU"/>
    </w:rPr>
  </w:style>
  <w:style w:type="paragraph" w:styleId="Xl123">
    <w:name w:val="xl123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left"/>
    </w:pPr>
    <w:rPr>
      <w:rFonts w:ascii="Arial CYR" w:hAnsi="Arial CYR" w:cs="Arial CYR"/>
      <w:b/>
      <w:bCs/>
      <w:sz w:val="20"/>
      <w:szCs w:val="20"/>
      <w:lang w:eastAsia="ru-RU"/>
    </w:rPr>
  </w:style>
  <w:style w:type="paragraph" w:styleId="Xl124">
    <w:name w:val="xl124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left"/>
    </w:pPr>
    <w:rPr>
      <w:rFonts w:ascii="Arial CYR" w:hAnsi="Arial CYR" w:cs="Arial CYR"/>
      <w:sz w:val="16"/>
      <w:szCs w:val="16"/>
      <w:lang w:eastAsia="ru-RU"/>
    </w:rPr>
  </w:style>
  <w:style w:type="paragraph" w:styleId="Xl125">
    <w:name w:val="xl125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center"/>
    </w:pPr>
    <w:rPr>
      <w:sz w:val="18"/>
      <w:szCs w:val="18"/>
      <w:lang w:eastAsia="ru-RU"/>
    </w:rPr>
  </w:style>
  <w:style w:type="paragraph" w:styleId="Xl126">
    <w:name w:val="xl126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left"/>
    </w:pPr>
    <w:rPr>
      <w:rFonts w:ascii="Arial CYR" w:hAnsi="Arial CYR" w:cs="Arial CYR"/>
      <w:sz w:val="20"/>
      <w:szCs w:val="20"/>
      <w:lang w:eastAsia="ru-RU"/>
    </w:rPr>
  </w:style>
  <w:style w:type="paragraph" w:styleId="Xl127">
    <w:name w:val="xl127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left"/>
    </w:pPr>
    <w:rPr>
      <w:rFonts w:ascii="Arial CYR" w:hAnsi="Arial CYR" w:cs="Arial CYR"/>
      <w:sz w:val="18"/>
      <w:szCs w:val="18"/>
      <w:lang w:eastAsia="ru-RU"/>
    </w:rPr>
  </w:style>
  <w:style w:type="paragraph" w:styleId="Xl128">
    <w:name w:val="xl128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left"/>
    </w:pPr>
    <w:rPr>
      <w:rFonts w:ascii="Arial CYR" w:hAnsi="Arial CYR" w:cs="Arial CYR"/>
      <w:b/>
      <w:bCs/>
      <w:sz w:val="18"/>
      <w:szCs w:val="18"/>
      <w:lang w:eastAsia="ru-RU"/>
    </w:rPr>
  </w:style>
  <w:style w:type="paragraph" w:styleId="Xl129">
    <w:name w:val="xl129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center"/>
    </w:pPr>
    <w:rPr>
      <w:szCs w:val="24"/>
      <w:lang w:eastAsia="ru-RU"/>
    </w:rPr>
  </w:style>
  <w:style w:type="paragraph" w:styleId="Xl130">
    <w:name w:val="xl130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  <w:ind w:hanging="0"/>
      <w:jc w:val="left"/>
    </w:pPr>
    <w:rPr>
      <w:szCs w:val="24"/>
      <w:lang w:eastAsia="ru-RU"/>
    </w:rPr>
  </w:style>
  <w:style w:type="paragraph" w:styleId="Xl131">
    <w:name w:val="xl131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left"/>
    </w:pPr>
    <w:rPr>
      <w:szCs w:val="24"/>
      <w:lang w:eastAsia="ru-RU"/>
    </w:rPr>
  </w:style>
  <w:style w:type="paragraph" w:styleId="Xl132">
    <w:name w:val="xl132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  <w:ind w:hanging="0"/>
      <w:jc w:val="left"/>
    </w:pPr>
    <w:rPr>
      <w:szCs w:val="24"/>
      <w:lang w:eastAsia="ru-RU"/>
    </w:rPr>
  </w:style>
  <w:style w:type="paragraph" w:styleId="Xl133">
    <w:name w:val="xl133"/>
    <w:basedOn w:val="Style40"/>
    <w:qFormat/>
    <w:pPr>
      <w:suppressAutoHyphens w:val="true"/>
      <w:spacing w:lineRule="auto" w:line="240" w:before="100" w:after="100"/>
      <w:ind w:hanging="0"/>
      <w:jc w:val="left"/>
    </w:pPr>
    <w:rPr>
      <w:rFonts w:ascii="Arial CYR" w:hAnsi="Arial CYR" w:cs="Arial CYR"/>
      <w:color w:val="FF0000"/>
      <w:sz w:val="20"/>
      <w:szCs w:val="20"/>
      <w:lang w:eastAsia="ru-RU"/>
    </w:rPr>
  </w:style>
  <w:style w:type="paragraph" w:styleId="Xl134">
    <w:name w:val="xl134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center"/>
    </w:pPr>
    <w:rPr>
      <w:rFonts w:ascii="Arial CYR" w:hAnsi="Arial CYR" w:cs="Arial CYR"/>
      <w:color w:val="FF0000"/>
      <w:sz w:val="16"/>
      <w:szCs w:val="16"/>
      <w:lang w:eastAsia="ru-RU"/>
    </w:rPr>
  </w:style>
  <w:style w:type="paragraph" w:styleId="Xl135">
    <w:name w:val="xl135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center"/>
    </w:pPr>
    <w:rPr>
      <w:rFonts w:ascii="Arial CYR" w:hAnsi="Arial CYR" w:cs="Arial CYR"/>
      <w:color w:val="FF0000"/>
      <w:sz w:val="16"/>
      <w:szCs w:val="16"/>
      <w:lang w:eastAsia="ru-RU"/>
    </w:rPr>
  </w:style>
  <w:style w:type="paragraph" w:styleId="Xl136">
    <w:name w:val="xl136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center"/>
    </w:pPr>
    <w:rPr>
      <w:rFonts w:ascii="Arial CYR" w:hAnsi="Arial CYR" w:cs="Arial CYR"/>
      <w:color w:val="FF0000"/>
      <w:sz w:val="16"/>
      <w:szCs w:val="16"/>
      <w:lang w:eastAsia="ru-RU"/>
    </w:rPr>
  </w:style>
  <w:style w:type="paragraph" w:styleId="Xl137">
    <w:name w:val="xl137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center"/>
    </w:pPr>
    <w:rPr>
      <w:rFonts w:ascii="Arial CYR" w:hAnsi="Arial CYR" w:cs="Arial CYR"/>
      <w:color w:val="FF0000"/>
      <w:sz w:val="16"/>
      <w:szCs w:val="16"/>
      <w:lang w:eastAsia="ru-RU"/>
    </w:rPr>
  </w:style>
  <w:style w:type="paragraph" w:styleId="Xl138">
    <w:name w:val="xl138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  <w:ind w:hanging="0"/>
      <w:jc w:val="center"/>
    </w:pPr>
    <w:rPr>
      <w:rFonts w:ascii="Arial CYR" w:hAnsi="Arial CYR" w:cs="Arial CYR"/>
      <w:sz w:val="16"/>
      <w:szCs w:val="16"/>
      <w:lang w:eastAsia="ru-RU"/>
    </w:rPr>
  </w:style>
  <w:style w:type="paragraph" w:styleId="Xl139">
    <w:name w:val="xl139"/>
    <w:basedOn w:val="Style40"/>
    <w:qFormat/>
    <w:pPr>
      <w:suppressAutoHyphens w:val="true"/>
      <w:spacing w:lineRule="auto" w:line="240" w:before="100" w:after="100"/>
      <w:ind w:hanging="0"/>
      <w:jc w:val="center"/>
    </w:pPr>
    <w:rPr>
      <w:rFonts w:ascii="Arial CYR" w:hAnsi="Arial CYR" w:cs="Arial CYR"/>
      <w:sz w:val="16"/>
      <w:szCs w:val="16"/>
      <w:lang w:eastAsia="ru-RU"/>
    </w:rPr>
  </w:style>
  <w:style w:type="paragraph" w:styleId="Xl140">
    <w:name w:val="xl140"/>
    <w:basedOn w:val="Style40"/>
    <w:qFormat/>
    <w:pPr>
      <w:suppressAutoHyphens w:val="true"/>
      <w:spacing w:lineRule="auto" w:line="240" w:before="100" w:after="100"/>
      <w:ind w:hanging="0"/>
      <w:jc w:val="center"/>
    </w:pPr>
    <w:rPr>
      <w:rFonts w:ascii="Arial CYR" w:hAnsi="Arial CYR" w:cs="Arial CYR"/>
      <w:sz w:val="16"/>
      <w:szCs w:val="16"/>
      <w:lang w:eastAsia="ru-RU"/>
    </w:rPr>
  </w:style>
  <w:style w:type="paragraph" w:styleId="Xl141">
    <w:name w:val="xl141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  <w:ind w:hanging="0"/>
      <w:jc w:val="center"/>
      <w:textAlignment w:val="center"/>
    </w:pPr>
    <w:rPr>
      <w:rFonts w:ascii="Arial CYR" w:hAnsi="Arial CYR" w:cs="Arial CYR"/>
      <w:sz w:val="16"/>
      <w:szCs w:val="16"/>
      <w:lang w:eastAsia="ru-RU"/>
    </w:rPr>
  </w:style>
  <w:style w:type="paragraph" w:styleId="Xl142">
    <w:name w:val="xl142"/>
    <w:basedOn w:val="Style40"/>
    <w:qFormat/>
    <w:pPr>
      <w:suppressAutoHyphens w:val="true"/>
      <w:spacing w:lineRule="auto" w:line="240" w:before="100" w:after="100"/>
      <w:ind w:hanging="0"/>
      <w:jc w:val="center"/>
      <w:textAlignment w:val="center"/>
    </w:pPr>
    <w:rPr>
      <w:rFonts w:ascii="Arial CYR" w:hAnsi="Arial CYR" w:cs="Arial CYR"/>
      <w:sz w:val="16"/>
      <w:szCs w:val="16"/>
      <w:lang w:eastAsia="ru-RU"/>
    </w:rPr>
  </w:style>
  <w:style w:type="paragraph" w:styleId="Xl143">
    <w:name w:val="xl143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center"/>
    </w:pPr>
    <w:rPr>
      <w:rFonts w:ascii="Arial CYR" w:hAnsi="Arial CYR" w:cs="Arial CYR"/>
      <w:sz w:val="18"/>
      <w:szCs w:val="18"/>
      <w:lang w:eastAsia="ru-RU"/>
    </w:rPr>
  </w:style>
  <w:style w:type="paragraph" w:styleId="Xl144">
    <w:name w:val="xl144"/>
    <w:basedOn w:val="Style40"/>
    <w:qFormat/>
    <w:pPr>
      <w:shd w:fill="FFFFFF" w:val="clear"/>
      <w:suppressAutoHyphens w:val="true"/>
      <w:spacing w:lineRule="auto" w:line="240" w:before="100" w:after="100"/>
      <w:ind w:hanging="0"/>
      <w:jc w:val="center"/>
    </w:pPr>
    <w:rPr>
      <w:rFonts w:ascii="Arial CYR" w:hAnsi="Arial CYR" w:cs="Arial CYR"/>
      <w:sz w:val="18"/>
      <w:szCs w:val="18"/>
      <w:lang w:eastAsia="ru-RU"/>
    </w:rPr>
  </w:style>
  <w:style w:type="paragraph" w:styleId="Xl145">
    <w:name w:val="xl145"/>
    <w:basedOn w:val="Style40"/>
    <w:qFormat/>
    <w:pPr>
      <w:shd w:fill="FFFFFF" w:val="clear"/>
      <w:suppressAutoHyphens w:val="true"/>
      <w:spacing w:lineRule="auto" w:line="240" w:before="100" w:after="100"/>
      <w:ind w:hanging="0"/>
      <w:jc w:val="center"/>
    </w:pPr>
    <w:rPr>
      <w:rFonts w:ascii="Arial CYR" w:hAnsi="Arial CYR" w:cs="Arial CYR"/>
      <w:sz w:val="18"/>
      <w:szCs w:val="18"/>
      <w:lang w:eastAsia="ru-RU"/>
    </w:rPr>
  </w:style>
  <w:style w:type="paragraph" w:styleId="Xl146">
    <w:name w:val="xl146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center"/>
    </w:pPr>
    <w:rPr>
      <w:rFonts w:ascii="Arial CYR" w:hAnsi="Arial CYR" w:cs="Arial CYR"/>
      <w:sz w:val="18"/>
      <w:szCs w:val="18"/>
      <w:lang w:eastAsia="ru-RU"/>
    </w:rPr>
  </w:style>
  <w:style w:type="paragraph" w:styleId="Xl147">
    <w:name w:val="xl147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center"/>
    </w:pPr>
    <w:rPr>
      <w:rFonts w:ascii="Arial CYR" w:hAnsi="Arial CYR" w:cs="Arial CYR"/>
      <w:sz w:val="18"/>
      <w:szCs w:val="18"/>
      <w:lang w:eastAsia="ru-RU"/>
    </w:rPr>
  </w:style>
  <w:style w:type="paragraph" w:styleId="Xl148">
    <w:name w:val="xl148"/>
    <w:basedOn w:val="Style40"/>
    <w:qFormat/>
    <w:pPr>
      <w:shd w:fill="FFFFFF" w:val="clear"/>
      <w:suppressAutoHyphens w:val="true"/>
      <w:spacing w:lineRule="auto" w:line="240" w:before="100" w:after="100"/>
      <w:ind w:hanging="0"/>
      <w:jc w:val="center"/>
    </w:pPr>
    <w:rPr>
      <w:rFonts w:ascii="Arial CYR" w:hAnsi="Arial CYR" w:cs="Arial CYR"/>
      <w:sz w:val="18"/>
      <w:szCs w:val="18"/>
      <w:lang w:eastAsia="ru-RU"/>
    </w:rPr>
  </w:style>
  <w:style w:type="paragraph" w:styleId="Xl149">
    <w:name w:val="xl149"/>
    <w:basedOn w:val="Style40"/>
    <w:qFormat/>
    <w:pPr>
      <w:shd w:fill="FFFFFF" w:val="clear"/>
      <w:suppressAutoHyphens w:val="true"/>
      <w:spacing w:lineRule="auto" w:line="240" w:before="100" w:after="100"/>
      <w:ind w:hanging="0"/>
      <w:jc w:val="center"/>
    </w:pPr>
    <w:rPr>
      <w:rFonts w:ascii="Arial CYR" w:hAnsi="Arial CYR" w:cs="Arial CYR"/>
      <w:sz w:val="18"/>
      <w:szCs w:val="18"/>
      <w:lang w:eastAsia="ru-RU"/>
    </w:rPr>
  </w:style>
  <w:style w:type="paragraph" w:styleId="Xl150">
    <w:name w:val="xl150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center"/>
    </w:pPr>
    <w:rPr>
      <w:rFonts w:ascii="Arial CYR" w:hAnsi="Arial CYR" w:cs="Arial CYR"/>
      <w:b/>
      <w:bCs/>
      <w:i/>
      <w:iCs/>
      <w:color w:val="FF0000"/>
      <w:sz w:val="20"/>
      <w:szCs w:val="20"/>
      <w:lang w:eastAsia="ru-RU"/>
    </w:rPr>
  </w:style>
  <w:style w:type="paragraph" w:styleId="Xl151">
    <w:name w:val="xl151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fill="FFFFFF" w:val="clear"/>
      <w:suppressAutoHyphens w:val="true"/>
      <w:spacing w:lineRule="auto" w:line="240" w:before="100" w:after="100"/>
      <w:ind w:hanging="0"/>
      <w:jc w:val="center"/>
    </w:pPr>
    <w:rPr>
      <w:rFonts w:ascii="Arial CYR" w:hAnsi="Arial CYR" w:cs="Arial CYR"/>
      <w:b/>
      <w:bCs/>
      <w:i/>
      <w:iCs/>
      <w:color w:val="FF0000"/>
      <w:sz w:val="20"/>
      <w:szCs w:val="20"/>
      <w:lang w:eastAsia="ru-RU"/>
    </w:rPr>
  </w:style>
  <w:style w:type="paragraph" w:styleId="Xl152">
    <w:name w:val="xl152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  <w:ind w:hanging="0"/>
      <w:jc w:val="center"/>
    </w:pPr>
    <w:rPr>
      <w:szCs w:val="24"/>
      <w:lang w:eastAsia="ru-RU"/>
    </w:rPr>
  </w:style>
  <w:style w:type="paragraph" w:styleId="Xl153">
    <w:name w:val="xl153"/>
    <w:basedOn w:val="Style40"/>
    <w:qFormat/>
    <w:pPr>
      <w:suppressAutoHyphens w:val="true"/>
      <w:spacing w:lineRule="auto" w:line="240" w:before="100" w:after="100"/>
      <w:ind w:hanging="0"/>
      <w:jc w:val="center"/>
    </w:pPr>
    <w:rPr>
      <w:szCs w:val="24"/>
      <w:lang w:eastAsia="ru-RU"/>
    </w:rPr>
  </w:style>
  <w:style w:type="paragraph" w:styleId="Xl154">
    <w:name w:val="xl154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  <w:ind w:hanging="0"/>
      <w:jc w:val="center"/>
    </w:pPr>
    <w:rPr>
      <w:szCs w:val="24"/>
      <w:lang w:eastAsia="ru-RU"/>
    </w:rPr>
  </w:style>
  <w:style w:type="paragraph" w:styleId="Xl155">
    <w:name w:val="xl155"/>
    <w:basedOn w:val="Style40"/>
    <w:qFormat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true"/>
      <w:spacing w:lineRule="auto" w:line="240" w:before="100" w:after="100"/>
      <w:ind w:hanging="0"/>
      <w:jc w:val="center"/>
    </w:pPr>
    <w:rPr>
      <w:rFonts w:ascii="Arial CYR" w:hAnsi="Arial CYR" w:cs="Arial CYR"/>
      <w:sz w:val="18"/>
      <w:szCs w:val="18"/>
      <w:lang w:eastAsia="ru-RU"/>
    </w:rPr>
  </w:style>
  <w:style w:type="paragraph" w:styleId="Xl156">
    <w:name w:val="xl156"/>
    <w:basedOn w:val="Style40"/>
    <w:qFormat/>
    <w:pPr>
      <w:suppressAutoHyphens w:val="true"/>
      <w:spacing w:lineRule="auto" w:line="240" w:before="100" w:after="100"/>
      <w:ind w:hanging="0"/>
      <w:jc w:val="center"/>
    </w:pPr>
    <w:rPr>
      <w:rFonts w:ascii="Arial CYR" w:hAnsi="Arial CYR" w:cs="Arial CYR"/>
      <w:sz w:val="18"/>
      <w:szCs w:val="18"/>
      <w:lang w:eastAsia="ru-RU"/>
    </w:rPr>
  </w:style>
  <w:style w:type="paragraph" w:styleId="Xl157">
    <w:name w:val="xl157"/>
    <w:basedOn w:val="Style40"/>
    <w:qFormat/>
    <w:pPr>
      <w:suppressAutoHyphens w:val="true"/>
      <w:spacing w:lineRule="auto" w:line="240" w:before="100" w:after="100"/>
      <w:ind w:hanging="0"/>
      <w:jc w:val="center"/>
    </w:pPr>
    <w:rPr>
      <w:rFonts w:ascii="Arial CYR" w:hAnsi="Arial CYR" w:cs="Arial CYR"/>
      <w:sz w:val="18"/>
      <w:szCs w:val="18"/>
      <w:lang w:eastAsia="ru-RU"/>
    </w:rPr>
  </w:style>
  <w:style w:type="paragraph" w:styleId="26">
    <w:name w:val="Список_маркерный_2_уровень"/>
    <w:basedOn w:val="110"/>
    <w:qFormat/>
    <w:pPr>
      <w:numPr>
        <w:ilvl w:val="0"/>
        <w:numId w:val="2"/>
      </w:numPr>
      <w:tabs>
        <w:tab w:val="clear" w:pos="709"/>
      </w:tabs>
      <w:suppressAutoHyphens w:val="true"/>
      <w:ind w:left="1647" w:hanging="360"/>
    </w:pPr>
    <w:rPr/>
  </w:style>
  <w:style w:type="paragraph" w:styleId="110">
    <w:name w:val="Список_маркерный_1_уровень"/>
    <w:qFormat/>
    <w:pPr>
      <w:keepNext w:val="false"/>
      <w:keepLines w:val="false"/>
      <w:pageBreakBefore w:val="false"/>
      <w:widowControl/>
      <w:numPr>
        <w:ilvl w:val="0"/>
        <w:numId w:val="2"/>
      </w:numPr>
      <w:pBdr/>
      <w:shd w:fill="auto" w:val="clear"/>
      <w:suppressAutoHyphens w:val="true"/>
      <w:kinsoku w:val="true"/>
      <w:overflowPunct w:val="true"/>
      <w:autoSpaceDE w:val="true"/>
      <w:bidi w:val="0"/>
      <w:snapToGrid w:val="true"/>
      <w:spacing w:before="60" w:after="100" w:lineRule="auto" w:line="240"/>
      <w:jc w:val="both"/>
      <w:textAlignment w:val="baseline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kern w:val="0"/>
      <w:position w:val="0"/>
      <w:sz w:val="24"/>
      <w:sz w:val="24"/>
      <w:szCs w:val="24"/>
      <w:u w:val="none"/>
      <w:vertAlign w:val="baseline"/>
      <w:em w:val="none"/>
      <w:lang w:val="ru-RU" w:eastAsia="ru-RU" w:bidi="ar-SA"/>
    </w:rPr>
  </w:style>
  <w:style w:type="paragraph" w:styleId="Style62">
    <w:name w:val="Знак Знак Знак Знак Знак Знак Знак"/>
    <w:basedOn w:val="Style40"/>
    <w:qFormat/>
    <w:pPr>
      <w:widowControl w:val="false"/>
      <w:suppressAutoHyphens w:val="true"/>
      <w:spacing w:lineRule="exact" w:line="240" w:before="0" w:after="160"/>
      <w:ind w:hanging="0"/>
      <w:jc w:val="right"/>
    </w:pPr>
    <w:rPr>
      <w:sz w:val="20"/>
      <w:szCs w:val="20"/>
      <w:lang w:val="en-GB"/>
    </w:rPr>
  </w:style>
  <w:style w:type="paragraph" w:styleId="Style63">
    <w:name w:val="Заголовок документа"/>
    <w:basedOn w:val="Style40"/>
    <w:qFormat/>
    <w:pPr>
      <w:suppressAutoHyphens w:val="true"/>
      <w:spacing w:lineRule="auto" w:line="360"/>
      <w:ind w:hanging="0"/>
      <w:jc w:val="center"/>
    </w:pPr>
    <w:rPr>
      <w:b/>
      <w:sz w:val="28"/>
      <w:szCs w:val="28"/>
    </w:rPr>
  </w:style>
  <w:style w:type="paragraph" w:styleId="111">
    <w:name w:val="ААУр1"/>
    <w:basedOn w:val="1"/>
    <w:qFormat/>
    <w:pPr>
      <w:keepNext w:val="false"/>
      <w:widowControl w:val="false"/>
      <w:numPr>
        <w:ilvl w:val="0"/>
        <w:numId w:val="3"/>
      </w:numPr>
      <w:suppressAutoHyphens w:val="true"/>
      <w:spacing w:lineRule="auto" w:line="240" w:before="120" w:after="240"/>
      <w:outlineLvl w:val="0"/>
    </w:pPr>
    <w:rPr>
      <w:spacing w:val="-1"/>
      <w:kern w:val="0"/>
      <w:sz w:val="28"/>
      <w:szCs w:val="28"/>
    </w:rPr>
  </w:style>
  <w:style w:type="paragraph" w:styleId="Style64">
    <w:name w:val="ААОбыч"/>
    <w:basedOn w:val="Style42"/>
    <w:qFormat/>
    <w:pPr>
      <w:widowControl w:val="false"/>
      <w:suppressAutoHyphens w:val="true"/>
      <w:spacing w:before="0" w:after="0"/>
      <w:ind w:firstLine="567"/>
    </w:pPr>
    <w:rPr>
      <w:b w:val="false"/>
      <w:color w:val="auto"/>
      <w:sz w:val="24"/>
      <w:szCs w:val="24"/>
    </w:rPr>
  </w:style>
  <w:style w:type="paragraph" w:styleId="Style65">
    <w:name w:val="ААПереч"/>
    <w:basedOn w:val="Style64"/>
    <w:qFormat/>
    <w:pPr>
      <w:numPr>
        <w:ilvl w:val="0"/>
        <w:numId w:val="4"/>
      </w:numPr>
      <w:tabs>
        <w:tab w:val="clear" w:pos="709"/>
        <w:tab w:val="left" w:pos="-7440" w:leader="none"/>
      </w:tabs>
      <w:suppressAutoHyphens w:val="true"/>
    </w:pPr>
    <w:rPr>
      <w:spacing w:val="-1"/>
    </w:rPr>
  </w:style>
  <w:style w:type="paragraph" w:styleId="Style66">
    <w:name w:val="ААРис"/>
    <w:basedOn w:val="Style40"/>
    <w:qFormat/>
    <w:pPr>
      <w:widowControl w:val="false"/>
      <w:suppressAutoHyphens w:val="true"/>
      <w:spacing w:lineRule="auto" w:line="240" w:before="0" w:after="240"/>
      <w:ind w:hanging="0"/>
      <w:jc w:val="center"/>
    </w:pPr>
    <w:rPr>
      <w:i/>
      <w:sz w:val="20"/>
    </w:rPr>
  </w:style>
  <w:style w:type="paragraph" w:styleId="Style67">
    <w:name w:val="ААТабл"/>
    <w:basedOn w:val="Style43"/>
    <w:qFormat/>
    <w:pPr>
      <w:suppressAutoHyphens w:val="true"/>
      <w:spacing w:lineRule="auto" w:line="240" w:before="120" w:after="0"/>
      <w:ind w:right="284" w:hanging="0"/>
      <w:jc w:val="right"/>
    </w:pPr>
    <w:rPr>
      <w:i/>
      <w:sz w:val="22"/>
      <w:szCs w:val="22"/>
    </w:rPr>
  </w:style>
  <w:style w:type="paragraph" w:styleId="Style68">
    <w:name w:val="ААСодТаб"/>
    <w:basedOn w:val="Style40"/>
    <w:qFormat/>
    <w:pPr>
      <w:suppressAutoHyphens w:val="true"/>
      <w:spacing w:lineRule="auto" w:line="240"/>
      <w:ind w:hanging="0"/>
      <w:jc w:val="center"/>
    </w:pPr>
    <w:rPr>
      <w:sz w:val="22"/>
      <w:lang w:eastAsia="ru-RU"/>
    </w:rPr>
  </w:style>
  <w:style w:type="paragraph" w:styleId="112">
    <w:name w:val="в таблице1"/>
    <w:basedOn w:val="Style40"/>
    <w:qFormat/>
    <w:pPr>
      <w:keepLines/>
      <w:suppressAutoHyphens w:val="true"/>
      <w:spacing w:lineRule="auto" w:line="240"/>
      <w:ind w:hanging="0"/>
      <w:jc w:val="center"/>
    </w:pPr>
    <w:rPr>
      <w:sz w:val="20"/>
      <w:szCs w:val="20"/>
      <w:lang w:eastAsia="ru-RU"/>
    </w:rPr>
  </w:style>
  <w:style w:type="paragraph" w:styleId="113">
    <w:name w:val="Таблица1"/>
    <w:basedOn w:val="Style40"/>
    <w:qFormat/>
    <w:pPr>
      <w:keepNext w:val="true"/>
      <w:keepLines/>
      <w:suppressAutoHyphens w:val="true"/>
      <w:spacing w:lineRule="auto" w:line="240"/>
      <w:ind w:hanging="0"/>
      <w:jc w:val="right"/>
    </w:pPr>
    <w:rPr>
      <w:b/>
      <w:bCs/>
      <w:sz w:val="20"/>
      <w:szCs w:val="20"/>
      <w:lang w:val="tt-RU" w:eastAsia="ru-RU"/>
    </w:rPr>
  </w:style>
  <w:style w:type="paragraph" w:styleId="TableParagraph1">
    <w:name w:val="Table Paragraph"/>
    <w:basedOn w:val="Style40"/>
    <w:qFormat/>
    <w:pPr>
      <w:widowControl w:val="false"/>
      <w:suppressAutoHyphens w:val="true"/>
      <w:spacing w:lineRule="auto" w:line="240"/>
      <w:ind w:hanging="0"/>
      <w:jc w:val="left"/>
    </w:pPr>
    <w:rPr>
      <w:rFonts w:ascii="Calibri" w:hAnsi="Calibri" w:eastAsia="Calibri" w:cs="Calibri"/>
      <w:sz w:val="22"/>
      <w:lang w:val="en-US"/>
    </w:rPr>
  </w:style>
  <w:style w:type="paragraph" w:styleId="Style69">
    <w:name w:val="ААОбычн"/>
    <w:basedOn w:val="Style40"/>
    <w:qFormat/>
    <w:pPr>
      <w:suppressAutoHyphens w:val="true"/>
      <w:spacing w:lineRule="auto" w:line="360"/>
      <w:ind w:firstLine="567"/>
    </w:pPr>
    <w:rPr>
      <w:szCs w:val="24"/>
      <w:lang w:eastAsia="ru-RU"/>
    </w:rPr>
  </w:style>
  <w:style w:type="paragraph" w:styleId="Style70">
    <w:name w:val="ААТАБЛ"/>
    <w:basedOn w:val="Style43"/>
    <w:qFormat/>
    <w:pPr>
      <w:keepNext w:val="true"/>
      <w:suppressAutoHyphens w:val="true"/>
      <w:spacing w:lineRule="auto" w:line="240" w:before="120" w:after="0"/>
      <w:jc w:val="right"/>
    </w:pPr>
    <w:rPr>
      <w:bCs w:val="false"/>
      <w:i/>
      <w:iCs/>
      <w:szCs w:val="24"/>
    </w:rPr>
  </w:style>
  <w:style w:type="paragraph" w:styleId="Style71">
    <w:name w:val="Содержимое врезки"/>
    <w:basedOn w:val="Normal"/>
    <w:qFormat/>
    <w:pPr>
      <w:suppressAutoHyphens w:val="false"/>
    </w:pPr>
    <w:rPr/>
  </w:style>
  <w:style w:type="paragraph" w:styleId="Style72">
    <w:name w:val="Содержимое таблицы"/>
    <w:basedOn w:val="Normal"/>
    <w:qFormat/>
    <w:pPr>
      <w:suppressLineNumbers/>
      <w:suppressAutoHyphens w:val="false"/>
    </w:pPr>
    <w:rPr/>
  </w:style>
  <w:style w:type="numbering" w:styleId="WWOutlineListStyle4">
    <w:name w:val="WW_OutlineListStyle_4"/>
    <w:qFormat/>
  </w:style>
  <w:style w:type="numbering" w:styleId="WWOutlineListStyle3">
    <w:name w:val="WW_OutlineListStyle_3"/>
    <w:qFormat/>
  </w:style>
  <w:style w:type="numbering" w:styleId="WWOutlineListStyle2">
    <w:name w:val="WW_OutlineListStyle_2"/>
    <w:qFormat/>
  </w:style>
  <w:style w:type="numbering" w:styleId="WWOutlineListStyle1">
    <w:name w:val="WW_OutlineListStyle_1"/>
    <w:qFormat/>
  </w:style>
  <w:style w:type="numbering" w:styleId="WWOutlineListStyle">
    <w:name w:val="WW_OutlineListStyle"/>
    <w:qFormat/>
  </w:style>
  <w:style w:type="numbering" w:styleId="27">
    <w:name w:val="Статья / Раздел2"/>
    <w:qFormat/>
  </w:style>
  <w:style w:type="numbering" w:styleId="LFO2">
    <w:name w:val="LFO2"/>
    <w:qFormat/>
  </w:style>
  <w:style w:type="numbering" w:styleId="LFO5">
    <w:name w:val="LFO5"/>
    <w:qFormat/>
  </w:style>
  <w:style w:type="numbering" w:styleId="LFO6">
    <w:name w:val="LFO6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footer" Target="footer4.xml"/><Relationship Id="rId13" Type="http://schemas.openxmlformats.org/officeDocument/2006/relationships/header" Target="header5.xml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header" Target="header6.xml"/><Relationship Id="rId17" Type="http://schemas.openxmlformats.org/officeDocument/2006/relationships/footer" Target="footer7.xml"/><Relationship Id="rId18" Type="http://schemas.openxmlformats.org/officeDocument/2006/relationships/header" Target="header7.xml"/><Relationship Id="rId19" Type="http://schemas.openxmlformats.org/officeDocument/2006/relationships/footer" Target="footer8.xml"/><Relationship Id="rId20" Type="http://schemas.openxmlformats.org/officeDocument/2006/relationships/footer" Target="footer9.xml"/><Relationship Id="rId21" Type="http://schemas.openxmlformats.org/officeDocument/2006/relationships/image" Target="media/image4.png"/><Relationship Id="rId22" Type="http://schemas.openxmlformats.org/officeDocument/2006/relationships/header" Target="header8.xml"/><Relationship Id="rId23" Type="http://schemas.openxmlformats.org/officeDocument/2006/relationships/footer" Target="footer10.xml"/><Relationship Id="rId24" Type="http://schemas.openxmlformats.org/officeDocument/2006/relationships/header" Target="header9.xml"/><Relationship Id="rId25" Type="http://schemas.openxmlformats.org/officeDocument/2006/relationships/footer" Target="footer11.xml"/><Relationship Id="rId26" Type="http://schemas.openxmlformats.org/officeDocument/2006/relationships/footer" Target="footer12.xml"/><Relationship Id="rId27" Type="http://schemas.openxmlformats.org/officeDocument/2006/relationships/image" Target="media/image5.png"/><Relationship Id="rId28" Type="http://schemas.openxmlformats.org/officeDocument/2006/relationships/header" Target="header10.xml"/><Relationship Id="rId29" Type="http://schemas.openxmlformats.org/officeDocument/2006/relationships/footer" Target="footer13.xml"/><Relationship Id="rId30" Type="http://schemas.openxmlformats.org/officeDocument/2006/relationships/header" Target="header11.xml"/><Relationship Id="rId31" Type="http://schemas.openxmlformats.org/officeDocument/2006/relationships/footer" Target="footer14.xml"/><Relationship Id="rId32" Type="http://schemas.openxmlformats.org/officeDocument/2006/relationships/footer" Target="footer15.xml"/><Relationship Id="rId33" Type="http://schemas.openxmlformats.org/officeDocument/2006/relationships/header" Target="header12.xml"/><Relationship Id="rId34" Type="http://schemas.openxmlformats.org/officeDocument/2006/relationships/footer" Target="footer16.xml"/><Relationship Id="rId35" Type="http://schemas.openxmlformats.org/officeDocument/2006/relationships/footer" Target="footer17.xml"/><Relationship Id="rId36" Type="http://schemas.openxmlformats.org/officeDocument/2006/relationships/header" Target="header13.xml"/><Relationship Id="rId37" Type="http://schemas.openxmlformats.org/officeDocument/2006/relationships/footer" Target="footer18.xml"/><Relationship Id="rId38" Type="http://schemas.openxmlformats.org/officeDocument/2006/relationships/footer" Target="footer19.xml"/><Relationship Id="rId39" Type="http://schemas.openxmlformats.org/officeDocument/2006/relationships/header" Target="header14.xml"/><Relationship Id="rId40" Type="http://schemas.openxmlformats.org/officeDocument/2006/relationships/footer" Target="footer20.xml"/><Relationship Id="rId41" Type="http://schemas.openxmlformats.org/officeDocument/2006/relationships/footer" Target="footer21.xml"/><Relationship Id="rId42" Type="http://schemas.openxmlformats.org/officeDocument/2006/relationships/header" Target="header15.xml"/><Relationship Id="rId43" Type="http://schemas.openxmlformats.org/officeDocument/2006/relationships/footer" Target="footer22.xml"/><Relationship Id="rId44" Type="http://schemas.openxmlformats.org/officeDocument/2006/relationships/footer" Target="footer23.xml"/><Relationship Id="rId45" Type="http://schemas.openxmlformats.org/officeDocument/2006/relationships/header" Target="header16.xml"/><Relationship Id="rId46" Type="http://schemas.openxmlformats.org/officeDocument/2006/relationships/footer" Target="footer24.xml"/><Relationship Id="rId47" Type="http://schemas.openxmlformats.org/officeDocument/2006/relationships/header" Target="header17.xml"/><Relationship Id="rId48" Type="http://schemas.openxmlformats.org/officeDocument/2006/relationships/footer" Target="footer25.xml"/><Relationship Id="rId49" Type="http://schemas.openxmlformats.org/officeDocument/2006/relationships/header" Target="header18.xml"/><Relationship Id="rId50" Type="http://schemas.openxmlformats.org/officeDocument/2006/relationships/footer" Target="footer26.xml"/><Relationship Id="rId51" Type="http://schemas.openxmlformats.org/officeDocument/2006/relationships/footer" Target="footer27.xml"/><Relationship Id="rId52" Type="http://schemas.openxmlformats.org/officeDocument/2006/relationships/header" Target="header19.xml"/><Relationship Id="rId53" Type="http://schemas.openxmlformats.org/officeDocument/2006/relationships/footer" Target="footer28.xml"/><Relationship Id="rId54" Type="http://schemas.openxmlformats.org/officeDocument/2006/relationships/footer" Target="footer29.xml"/><Relationship Id="rId55" Type="http://schemas.openxmlformats.org/officeDocument/2006/relationships/numbering" Target="numbering.xml"/><Relationship Id="rId56" Type="http://schemas.openxmlformats.org/officeDocument/2006/relationships/fontTable" Target="fontTable.xml"/><Relationship Id="rId5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LibreOffice/6.1.4.2$Windows_X86_64 LibreOffice_project/9d0f32d1f0b509096fd65e0d4bec26ddd1938fd3</Application>
  <Pages>1</Pages>
  <Words>19940</Words>
  <CharactersWithSpaces>133332</CharactersWithSpaces>
  <Paragraphs>266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2019-02-06T10:45:00Z</dcterms:created>
  <dc:creator>kb1</dc:creator>
  <dc:description/>
  <dc:language>ru-RU</dc:language>
  <cp:lastModifiedBy>Пользователь</cp:lastModifiedBy>
  <cp:lastPrinted>2019-02-07T06:01:00Z</cp:lastPrinted>
  <dcterms:modified xsi:type="dcterms:W3CDTF">2019-02-07T06:02:00Z</dcterms:modified>
  <cp:revision>4</cp:revision>
  <dc:subject/>
  <dc:title/>
</cp:coreProperties>
</file>