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6"/>
        <w:spacing w:before="120" w:after="120"/>
        <w:jc w:val="center"/>
        <w:rPr/>
      </w:pPr>
      <w:r>
        <w:rPr/>
        <w:drawing>
          <wp:inline distT="0" distB="0" distL="0" distR="0">
            <wp:extent cx="421640" cy="6559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6" t="-248" r="-406" b="-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widowControl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4"/>
        <w:widowControl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24"/>
        <w:widowControl/>
        <w:pBdr>
          <w:top w:val="double" w:sz="12" w:space="1" w:color="000000"/>
        </w:pBdr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2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от 16.11.2022 № 106</w:t>
      </w:r>
      <w:r>
        <w:rPr>
          <w:rStyle w:val="Style12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8</w:t>
      </w:r>
    </w:p>
    <w:p>
      <w:pPr>
        <w:pStyle w:val="Normal"/>
        <w:jc w:val="center"/>
        <w:rPr>
          <w:rStyle w:val="Style12"/>
          <w:rFonts w:ascii="Liberation Serif" w:hAnsi="Liberation Serif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jc w:val="center"/>
        <w:rPr/>
      </w:pPr>
      <w:bookmarkStart w:id="0" w:name="__DdeLink__5682_4245028249"/>
      <w:bookmarkStart w:id="1" w:name="__DdeLink__5670_4245028249"/>
      <w:bookmarkStart w:id="2" w:name="__DdeLink__5668_4245028249"/>
      <w:bookmarkStart w:id="3" w:name="__DdeLink__6233_4245028249"/>
      <w:bookmarkEnd w:id="0"/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 проведении конкурсного отбора проектов инициативного бюджетирования на территории Камышловского городского округа</w:t>
      </w:r>
    </w:p>
    <w:p>
      <w:pPr>
        <w:pStyle w:val="Normal"/>
        <w:jc w:val="center"/>
        <w:rPr/>
      </w:pPr>
      <w:bookmarkStart w:id="4" w:name="__DdeLink__5677_4245028249"/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для участия в региональном конкурсном отборе 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в 202</w:t>
      </w:r>
      <w:r>
        <w:rPr>
          <w:rStyle w:val="Style12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bidi="ar-SA"/>
        </w:rPr>
        <w:t>3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 году</w:t>
      </w:r>
      <w:bookmarkEnd w:id="1"/>
      <w:bookmarkEnd w:id="2"/>
      <w:bookmarkEnd w:id="3"/>
      <w:bookmarkEnd w:id="4"/>
    </w:p>
    <w:p>
      <w:pPr>
        <w:pStyle w:val="Normal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  <w:bookmarkStart w:id="5" w:name="__DdeLink__5682_4245028249"/>
      <w:bookmarkStart w:id="6" w:name="__DdeLink__5682_4245028249"/>
      <w:bookmarkEnd w:id="6"/>
    </w:p>
    <w:p>
      <w:pPr>
        <w:pStyle w:val="Normal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ab/>
        <w:t>В целях реализации на территории Камышловского городского округа проектов инициативного бюджетирования, руководствуясь Федеральным законом от 06.10.2003 № 131- ФЗ «Об общих принципах организации местного самоуправления в Российской Федерации», Постановлением Правительства Свердловской области от 25.12.2014 № 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2024 года», Постановлением администрации Камышловского городского округа от 20.05.2019 № 426 «Об утверждении Порядка проведения конкурсного отбора проектов инициативного бюджетирования и состава конкурсной комиссии в Камышловском городском округе»,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/>
      </w:pPr>
      <w:r>
        <w:rPr>
          <w:rStyle w:val="Style12"/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ind w:left="0" w:right="0"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1. Провести конкурсный отбор проектов инициативного бюджетирования на территории Камышловского городского округа для участия в региональном конкурсном отборе в 2023 году, согласно извещению (</w:t>
      </w:r>
      <w:r>
        <w:rPr>
          <w:rStyle w:val="Style12"/>
          <w:rFonts w:ascii="Liberation Serif" w:hAnsi="Liberation Serif"/>
          <w:sz w:val="28"/>
          <w:szCs w:val="28"/>
        </w:rPr>
        <w:t>прилагается</w:t>
      </w:r>
      <w:r>
        <w:rPr>
          <w:rStyle w:val="Style12"/>
          <w:rFonts w:ascii="Liberation Serif" w:hAnsi="Liberation Serif"/>
          <w:sz w:val="28"/>
          <w:szCs w:val="28"/>
        </w:rPr>
        <w:t>).</w:t>
      </w:r>
    </w:p>
    <w:p>
      <w:pPr>
        <w:pStyle w:val="Normal"/>
        <w:ind w:left="0" w:right="0"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2. </w:t>
      </w:r>
      <w:r>
        <w:rPr>
          <w:rStyle w:val="Style12"/>
          <w:rFonts w:ascii="Liberation Serif" w:hAnsi="Liberation Serif"/>
          <w:sz w:val="28"/>
          <w:szCs w:val="28"/>
        </w:rPr>
        <w:t xml:space="preserve">Настоящее постановление опубликовать </w:t>
      </w:r>
      <w:r>
        <w:rPr>
          <w:rStyle w:val="Style12"/>
          <w:rFonts w:cs="Liberation Serif" w:ascii="Liberation Serif" w:hAnsi="Liberation Serif"/>
          <w:sz w:val="28"/>
          <w:szCs w:val="28"/>
        </w:rPr>
        <w:t>в газете «Камышловские известия» и разместить на официальном сайте Камышловского городского округа</w:t>
      </w:r>
      <w:r>
        <w:rPr>
          <w:rStyle w:val="Style12"/>
          <w:rFonts w:ascii="Liberation Serif" w:hAnsi="Liberation Serif"/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Normal"/>
        <w:tabs>
          <w:tab w:val="clear" w:pos="708"/>
          <w:tab w:val="center" w:pos="4819" w:leader="none"/>
        </w:tabs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center" w:pos="4819" w:leader="none"/>
        </w:tabs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округа                                                                   А.В. Половников</w:t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5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6"/>
        <w:gridCol w:w="4067"/>
      </w:tblGrid>
      <w:tr>
        <w:trPr/>
        <w:tc>
          <w:tcPr>
            <w:tcW w:w="5786" w:type="dxa"/>
            <w:tcBorders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067" w:type="dxa"/>
            <w:tcBorders/>
          </w:tcPr>
          <w:p>
            <w:pPr>
              <w:pStyle w:val="Normal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</w:t>
            </w:r>
          </w:p>
          <w:p>
            <w:pPr>
              <w:pStyle w:val="Normal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 постановлению администрации</w:t>
            </w:r>
          </w:p>
          <w:p>
            <w:pPr>
              <w:pStyle w:val="Normal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Камышловского городского округа</w:t>
            </w:r>
          </w:p>
          <w:p>
            <w:pPr>
              <w:pStyle w:val="Normal"/>
              <w:jc w:val="left"/>
              <w:rPr/>
            </w:pPr>
            <w:r>
              <w:rPr>
                <w:rStyle w:val="Style12"/>
                <w:rFonts w:ascii="Liberation Serif" w:hAnsi="Liberation Serif"/>
              </w:rPr>
              <w:t xml:space="preserve">от </w:t>
            </w:r>
            <w:r>
              <w:rPr>
                <w:rStyle w:val="Style12"/>
                <w:rFonts w:eastAsia="Times New Roman" w:cs="Times New Roman" w:ascii="Liberation Serif" w:hAnsi="Liberation Serif"/>
                <w:lang w:bidi="ar-SA"/>
              </w:rPr>
              <w:t>16.11.2022</w:t>
            </w:r>
            <w:r>
              <w:rPr>
                <w:rStyle w:val="Style12"/>
                <w:rFonts w:ascii="Liberation Serif" w:hAnsi="Liberation Serif"/>
              </w:rPr>
              <w:t xml:space="preserve"> №  </w:t>
            </w:r>
            <w:r>
              <w:rPr>
                <w:rStyle w:val="Style12"/>
                <w:rFonts w:eastAsia="Times New Roman" w:cs="Times New Roman" w:ascii="Liberation Serif" w:hAnsi="Liberation Serif"/>
                <w:lang w:bidi="ar-SA"/>
              </w:rPr>
              <w:t>1068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Извещение о проведении конкурсного отбора проектов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инициативного бюджетированияна территории Камышловского городского округа для участия в региональном конкурсном отборе в 2023 год</w:t>
      </w:r>
      <w:r>
        <w:rPr>
          <w:rFonts w:ascii="Liberation Serif" w:hAnsi="Liberation Serif"/>
          <w:b/>
          <w:sz w:val="28"/>
          <w:szCs w:val="28"/>
        </w:rPr>
        <w:t>у</w:t>
      </w:r>
    </w:p>
    <w:p>
      <w:pPr>
        <w:pStyle w:val="Style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53" w:type="dxa"/>
        <w:jc w:val="left"/>
        <w:tblInd w:w="-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5"/>
        <w:gridCol w:w="5938"/>
      </w:tblGrid>
      <w:tr>
        <w:trPr/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Организатор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Место предоставления заявок</w:t>
            </w:r>
          </w:p>
        </w:tc>
        <w:tc>
          <w:tcPr>
            <w:tcW w:w="5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624860, г.Камышлов, Свердловской области, ул.Свердлова, 41, кабинет № 2 (отдел экономики),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понедельник — пятница с 8-00 до 16-00 ч.,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перерыв на обед с 12 - 00 до 13 - 00 ч.</w:t>
            </w:r>
          </w:p>
        </w:tc>
      </w:tr>
      <w:tr>
        <w:trPr/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Дата начала и окончания приема заявок для участия в конкурсном отборе</w:t>
            </w:r>
          </w:p>
        </w:tc>
        <w:tc>
          <w:tcPr>
            <w:tcW w:w="5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Дата начала приема заявок — </w:t>
            </w:r>
            <w:r>
              <w:rPr>
                <w:rFonts w:eastAsia="Times New Roman" w:cs="Times New Roman" w:ascii="Liberation Serif" w:hAnsi="Liberation Serif"/>
                <w:sz w:val="26"/>
                <w:szCs w:val="26"/>
                <w:lang w:bidi="ar-SA"/>
              </w:rPr>
              <w:t>21</w:t>
            </w:r>
            <w:r>
              <w:rPr>
                <w:rFonts w:eastAsia="Times New Roman" w:cs="Times New Roman" w:ascii="Liberation Serif" w:hAnsi="Liberation Serif"/>
                <w:sz w:val="26"/>
                <w:szCs w:val="26"/>
                <w:lang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6"/>
                <w:szCs w:val="26"/>
                <w:lang w:bidi="ar-SA"/>
              </w:rPr>
              <w:t>ноября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202</w:t>
            </w: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Дата окончания приема заявок — </w:t>
            </w:r>
            <w:r>
              <w:rPr>
                <w:rFonts w:eastAsia="Times New Roman" w:cs="Times New Roman" w:ascii="Liberation Serif" w:hAnsi="Liberation Serif"/>
                <w:sz w:val="26"/>
                <w:szCs w:val="26"/>
                <w:lang w:bidi="ar-SA"/>
              </w:rPr>
              <w:t>12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декабря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202</w:t>
            </w: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</w:tr>
      <w:tr>
        <w:trPr/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Перечень сфер реализации проектов</w:t>
            </w:r>
          </w:p>
        </w:tc>
        <w:tc>
          <w:tcPr>
            <w:tcW w:w="5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both"/>
              <w:rPr/>
            </w:pPr>
            <w:r>
              <w:rPr>
                <w:rStyle w:val="Style12"/>
                <w:rFonts w:ascii="Liberation Serif" w:hAnsi="Liberation Serif"/>
                <w:b w:val="false"/>
                <w:sz w:val="26"/>
                <w:szCs w:val="26"/>
              </w:rPr>
              <w:t xml:space="preserve">1. </w:t>
            </w:r>
            <w:r>
              <w:rPr>
                <w:rStyle w:val="Style12"/>
                <w:rFonts w:ascii="Liberation Serif" w:hAnsi="Liberation Serif"/>
                <w:b w:val="false"/>
                <w:i/>
                <w:iCs/>
                <w:sz w:val="26"/>
                <w:szCs w:val="26"/>
                <w:u w:val="single"/>
              </w:rPr>
              <w:t>Б</w:t>
            </w:r>
            <w:r>
              <w:rPr>
                <w:rStyle w:val="Style12"/>
                <w:rFonts w:eastAsia="Times New Roman;Times New Roman" w:cs="Liberation Serif;Times New Roman" w:ascii="Liberation Serif;Times New Roman" w:hAnsi="Liberation Serif;Times New Roman"/>
                <w:b w:val="false"/>
                <w:i/>
                <w:iCs/>
                <w:sz w:val="26"/>
                <w:szCs w:val="26"/>
                <w:u w:val="single"/>
              </w:rPr>
              <w:t>лагоустройство</w:t>
            </w:r>
            <w:r>
              <w:rPr>
                <w:rStyle w:val="Style12"/>
                <w:rFonts w:eastAsia="Times New Roman;Times New Roman" w:cs="Liberation Serif;Times New Roman" w:ascii="Liberation Serif;Times New Roman" w:hAnsi="Liberation Serif;Times New Roman"/>
                <w:b w:val="false"/>
                <w:sz w:val="26"/>
                <w:szCs w:val="26"/>
                <w:u w:val="single"/>
              </w:rPr>
              <w:t xml:space="preserve"> </w:t>
            </w:r>
            <w:r>
              <w:rPr>
                <w:rStyle w:val="Style12"/>
                <w:rFonts w:eastAsia="Times New Roman;Times New Roman" w:cs="Liberation Serif;Times New Roman" w:ascii="Liberation Serif;Times New Roman" w:hAnsi="Liberation Serif;Times New Roman"/>
                <w:b w:val="false"/>
                <w:i/>
                <w:iCs/>
                <w:sz w:val="26"/>
                <w:szCs w:val="26"/>
                <w:u w:val="single"/>
              </w:rPr>
              <w:t>территории</w:t>
            </w:r>
            <w:r>
              <w:rPr>
                <w:rStyle w:val="Style12"/>
                <w:rFonts w:eastAsia="Times New Roman;Times New Roman" w:cs="Liberation Serif;Times New Roman" w:ascii="Liberation Serif;Times New Roman" w:hAnsi="Liberation Serif;Times New Roman"/>
                <w:b w:val="false"/>
                <w:i/>
                <w:iCs/>
                <w:sz w:val="26"/>
                <w:szCs w:val="26"/>
              </w:rPr>
              <w:t>:</w:t>
            </w:r>
            <w:r>
              <w:rPr>
                <w:rStyle w:val="Style12"/>
                <w:rFonts w:eastAsia="Times New Roman;Times New Roman" w:cs="Liberation Serif;Times New Roman" w:ascii="Liberation Serif;Times New Roman" w:hAnsi="Liberation Serif;Times New Roman"/>
                <w:b w:val="false"/>
                <w:sz w:val="26"/>
                <w:szCs w:val="26"/>
              </w:rPr>
              <w:t xml:space="preserve"> обустройство общественных пространств (за исключением установки новых памятников, мемориалов, памятных досок), детских площадок, мест для занятия физической культурой и спортом, освещение улиц, озеленение;</w:t>
            </w:r>
          </w:p>
          <w:p>
            <w:pPr>
              <w:pStyle w:val="Style23"/>
              <w:jc w:val="both"/>
              <w:rPr/>
            </w:pPr>
            <w:r>
              <w:rPr>
                <w:rStyle w:val="Style12"/>
                <w:rFonts w:ascii="Liberation Serif" w:hAnsi="Liberation Serif"/>
                <w:b w:val="false"/>
                <w:sz w:val="26"/>
                <w:szCs w:val="26"/>
              </w:rPr>
              <w:t>2</w:t>
            </w:r>
            <w:r>
              <w:rPr>
                <w:rStyle w:val="Style12"/>
                <w:rFonts w:ascii="Liberation Serif" w:hAnsi="Liberation Serif"/>
                <w:b w:val="false"/>
                <w:sz w:val="26"/>
                <w:szCs w:val="26"/>
              </w:rPr>
              <w:t xml:space="preserve">. </w:t>
            </w:r>
            <w:r>
              <w:rPr>
                <w:rStyle w:val="Style12"/>
                <w:rFonts w:ascii="Liberation Serif" w:hAnsi="Liberation Serif"/>
                <w:b w:val="false"/>
                <w:i/>
                <w:sz w:val="26"/>
                <w:szCs w:val="26"/>
                <w:u w:val="single"/>
              </w:rPr>
              <w:t>Дополнительное образование детей</w:t>
            </w:r>
            <w:r>
              <w:rPr>
                <w:rStyle w:val="Style12"/>
                <w:rFonts w:ascii="Liberation Serif" w:hAnsi="Liberation Serif"/>
                <w:b w:val="false"/>
                <w:sz w:val="26"/>
                <w:szCs w:val="26"/>
              </w:rPr>
              <w:t xml:space="preserve"> (оснащение оборудованием, приобретение программных средств для муниципальных организаций дополнительного образования детей).</w:t>
            </w:r>
          </w:p>
          <w:p>
            <w:pPr>
              <w:pStyle w:val="Style23"/>
              <w:jc w:val="both"/>
              <w:rPr/>
            </w:pPr>
            <w:r>
              <w:rPr>
                <w:rStyle w:val="Style12"/>
                <w:rFonts w:ascii="Liberation Serif" w:hAnsi="Liberation Serif"/>
                <w:b w:val="false"/>
                <w:sz w:val="26"/>
                <w:szCs w:val="26"/>
              </w:rPr>
              <w:t xml:space="preserve">3. </w:t>
            </w:r>
            <w:r>
              <w:rPr>
                <w:rStyle w:val="Style12"/>
                <w:rFonts w:ascii="Liberation Serif" w:hAnsi="Liberation Serif"/>
                <w:b w:val="false"/>
                <w:i/>
                <w:iCs/>
                <w:sz w:val="26"/>
                <w:szCs w:val="26"/>
                <w:u w:val="single"/>
              </w:rPr>
              <w:t>Развитие и внедрение информационных технологий</w:t>
            </w:r>
            <w:r>
              <w:rPr>
                <w:rStyle w:val="Style12"/>
                <w:rFonts w:ascii="Liberation Serif" w:hAnsi="Liberation Serif"/>
                <w:b w:val="false"/>
                <w:sz w:val="26"/>
                <w:szCs w:val="26"/>
              </w:rPr>
              <w:t xml:space="preserve"> (включая разработку информационных систем и развитие инфокоммуникационной инфраструктуры) 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«одного окна»).</w:t>
            </w:r>
          </w:p>
        </w:tc>
      </w:tr>
      <w:tr>
        <w:trPr/>
        <w:tc>
          <w:tcPr>
            <w:tcW w:w="391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Уровень софинансирования проектов </w:t>
            </w:r>
          </w:p>
        </w:tc>
        <w:tc>
          <w:tcPr>
            <w:tcW w:w="59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  <w:b w:val="false"/>
                <w:b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sz w:val="26"/>
                <w:szCs w:val="26"/>
              </w:rPr>
              <w:t>Население от 5 % до 60% от стоимости проекта</w:t>
            </w:r>
          </w:p>
          <w:p>
            <w:pPr>
              <w:pStyle w:val="Style23"/>
              <w:jc w:val="both"/>
              <w:rPr>
                <w:rFonts w:ascii="Liberation Serif" w:hAnsi="Liberation Serif"/>
                <w:b w:val="false"/>
                <w:b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sz w:val="26"/>
                <w:szCs w:val="26"/>
              </w:rPr>
              <w:t xml:space="preserve">Организации (юридические лица и предприниматели) </w:t>
            </w:r>
          </w:p>
          <w:p>
            <w:pPr>
              <w:pStyle w:val="Style23"/>
              <w:jc w:val="both"/>
              <w:rPr>
                <w:rFonts w:ascii="Liberation Serif" w:hAnsi="Liberation Serif"/>
                <w:b w:val="false"/>
                <w:b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sz w:val="26"/>
                <w:szCs w:val="26"/>
              </w:rPr>
              <w:t>от 10 % до 65 %</w:t>
            </w:r>
          </w:p>
          <w:p>
            <w:pPr>
              <w:pStyle w:val="Style23"/>
              <w:jc w:val="both"/>
              <w:rPr>
                <w:rFonts w:ascii="Liberation Serif" w:hAnsi="Liberation Serif"/>
                <w:b w:val="false"/>
                <w:b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sz w:val="26"/>
                <w:szCs w:val="26"/>
              </w:rPr>
              <w:t>Местный бюджет от 5 % до 85 %</w:t>
            </w:r>
          </w:p>
          <w:p>
            <w:pPr>
              <w:pStyle w:val="Style23"/>
              <w:jc w:val="both"/>
              <w:rPr/>
            </w:pPr>
            <w:r>
              <w:rPr>
                <w:rStyle w:val="Style12"/>
                <w:rFonts w:ascii="Liberation Serif" w:hAnsi="Liberation Serif"/>
                <w:b w:val="false"/>
                <w:sz w:val="26"/>
                <w:szCs w:val="26"/>
              </w:rPr>
              <w:t xml:space="preserve">Областной бюджет до 50%, </w:t>
            </w:r>
            <w:r>
              <w:rPr>
                <w:rStyle w:val="Style12"/>
                <w:rFonts w:eastAsia="NSimSun" w:cs="Mangal" w:ascii="Liberation Serif" w:hAnsi="Liberation Serif"/>
                <w:b w:val="false"/>
                <w:sz w:val="26"/>
                <w:szCs w:val="26"/>
                <w:lang w:bidi="hi-IN"/>
              </w:rPr>
              <w:t>но не более 2 млн. рублей</w:t>
            </w:r>
          </w:p>
          <w:p>
            <w:pPr>
              <w:pStyle w:val="Style23"/>
              <w:jc w:val="both"/>
              <w:rPr>
                <w:rFonts w:ascii="Liberation Serif" w:hAnsi="Liberation Serif"/>
                <w:b w:val="false"/>
                <w:b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sz w:val="26"/>
                <w:szCs w:val="26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Перечень документов, входящих в заявку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rFonts w:ascii="Liberation Serif" w:hAnsi="Liberation Serif"/>
                <w:sz w:val="26"/>
                <w:szCs w:val="26"/>
              </w:rPr>
              <w:t xml:space="preserve">Перечень документов и требования к ним, определены Порядком проведения конкурсного отбора проектов инициативного бюджетирования и состава конкурсной комиссии в Камышловском городском округе, утвержденного Постановлением от 20.05.2019 г. №426 (размещенном на сайте </w:t>
            </w:r>
            <w:hyperlink r:id="rId3" w:tgtFrame="_top">
              <w:bookmarkStart w:id="7" w:name="__DdeLink__6214_4245028249"/>
              <w:r>
                <w:rPr>
                  <w:rFonts w:ascii="Liberation Serif" w:hAnsi="Liberation Serif"/>
                  <w:sz w:val="26"/>
                  <w:szCs w:val="26"/>
                </w:rPr>
                <w:t>http://gorod-kamyshlov.ru/economy/initsiativnoe-</w:t>
              </w:r>
            </w:hyperlink>
            <w:hyperlink r:id="rId4" w:tgtFrame="_top">
              <w:r>
                <w:rPr>
                  <w:rFonts w:ascii="Liberation Serif" w:hAnsi="Liberation Serif"/>
                  <w:sz w:val="26"/>
                  <w:szCs w:val="26"/>
                </w:rPr>
                <w:t>byudzhetirovanie/</w:t>
              </w:r>
            </w:hyperlink>
            <w:bookmarkEnd w:id="7"/>
            <w:r>
              <w:rPr>
                <w:rStyle w:val="Style12"/>
                <w:rFonts w:ascii="Liberation Serif" w:hAnsi="Liberation Serif"/>
                <w:sz w:val="26"/>
                <w:szCs w:val="26"/>
              </w:rPr>
              <w:t xml:space="preserve">) </w:t>
            </w:r>
          </w:p>
        </w:tc>
      </w:tr>
      <w:tr>
        <w:trPr/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Условия предоставления заявки</w:t>
            </w:r>
          </w:p>
        </w:tc>
        <w:tc>
          <w:tcPr>
            <w:tcW w:w="5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Заявка на участие в конкурсном отборе предоставляется на бумажном носителе, непосредственно в администрацию Камышловского городского округа или направляется почтовым отправлением в адрес администрации</w:t>
            </w:r>
          </w:p>
        </w:tc>
      </w:tr>
      <w:tr>
        <w:trPr/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Дата рассмотрения заявок для участия в конкурсном отборе, принятие решения</w:t>
            </w:r>
          </w:p>
        </w:tc>
        <w:tc>
          <w:tcPr>
            <w:tcW w:w="5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Liberation Serif" w:hAnsi="Liberation Serif"/>
                <w:sz w:val="26"/>
                <w:szCs w:val="26"/>
                <w:lang w:bidi="ar-SA"/>
              </w:rPr>
              <w:t>1</w:t>
            </w:r>
            <w:r>
              <w:rPr>
                <w:rFonts w:eastAsia="Times New Roman" w:cs="Times New Roman" w:ascii="Liberation Serif" w:hAnsi="Liberation Serif"/>
                <w:sz w:val="26"/>
                <w:szCs w:val="26"/>
                <w:lang w:bidi="ar-SA"/>
              </w:rPr>
              <w:t>6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декабря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202</w:t>
            </w: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</w:tr>
      <w:tr>
        <w:trPr/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Утверждение результатов конкурсного отбора проектов инициативного бюджетирования</w:t>
            </w:r>
          </w:p>
        </w:tc>
        <w:tc>
          <w:tcPr>
            <w:tcW w:w="5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Liberation Serif" w:hAnsi="Liberation Serif"/>
                <w:sz w:val="26"/>
                <w:szCs w:val="26"/>
                <w:lang w:bidi="ar-SA"/>
              </w:rPr>
              <w:t>22</w:t>
            </w:r>
            <w:bookmarkStart w:id="8" w:name="__DdeLink__5689_4245028249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декабря</w:t>
            </w:r>
            <w:bookmarkEnd w:id="8"/>
            <w:r>
              <w:rPr>
                <w:rFonts w:ascii="Liberation Serif" w:hAnsi="Liberation Serif"/>
                <w:sz w:val="26"/>
                <w:szCs w:val="26"/>
              </w:rPr>
              <w:t xml:space="preserve"> 202</w:t>
            </w: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</w:tr>
      <w:tr>
        <w:trPr/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Контактные данные ответственного сотрудника</w:t>
            </w:r>
          </w:p>
        </w:tc>
        <w:tc>
          <w:tcPr>
            <w:tcW w:w="5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  <w:b w:val="false"/>
                <w:b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sz w:val="26"/>
                <w:szCs w:val="26"/>
              </w:rPr>
              <w:t>Хапочкина Ольга Александровна, ведущий специалист отдела экономики администрации Камышловского городского округа,</w:t>
            </w:r>
          </w:p>
          <w:p>
            <w:pPr>
              <w:pStyle w:val="Style23"/>
              <w:jc w:val="both"/>
              <w:rPr/>
            </w:pPr>
            <w:r>
              <w:rPr>
                <w:rStyle w:val="Style12"/>
                <w:rFonts w:ascii="Liberation Serif" w:hAnsi="Liberation Serif"/>
                <w:b w:val="false"/>
                <w:sz w:val="26"/>
                <w:szCs w:val="26"/>
              </w:rPr>
              <w:t>телефон 8-34375-2-45-55</w:t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sectPr>
      <w:headerReference w:type="default" r:id="rId5"/>
      <w:type w:val="nextPage"/>
      <w:pgSz w:w="11906" w:h="16838"/>
      <w:pgMar w:left="1701" w:right="567" w:header="1134" w:top="1548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3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Style18">
    <w:name w:val="Символ нумерации"/>
    <w:qFormat/>
    <w:rPr/>
  </w:style>
  <w:style w:type="character" w:styleId="Style19">
    <w:name w:val="Гиперссылка"/>
    <w:basedOn w:val="Style12"/>
    <w:qFormat/>
    <w:rPr>
      <w:color w:val="0563C1"/>
      <w:u w:val="single"/>
    </w:rPr>
  </w:style>
  <w:style w:type="character" w:styleId="Style20">
    <w:name w:val="Верхний колонтитул Знак"/>
    <w:basedOn w:val="Style12"/>
    <w:qFormat/>
    <w:rPr>
      <w:szCs w:val="21"/>
    </w:rPr>
  </w:style>
  <w:style w:type="character" w:styleId="Style21">
    <w:name w:val="Нижний колонтитул Знак"/>
    <w:basedOn w:val="Style12"/>
    <w:qFormat/>
    <w:rPr>
      <w:szCs w:val="21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paragraph" w:styleId="Style22">
    <w:name w:val="Заголовок"/>
    <w:basedOn w:val="Normal"/>
    <w:next w:val="Style23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23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4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25">
    <w:name w:val="List"/>
    <w:basedOn w:val="Style23"/>
    <w:pPr>
      <w:suppressAutoHyphens w:val="true"/>
    </w:pPr>
    <w:rPr>
      <w:rFonts w:cs="Mangal"/>
    </w:rPr>
  </w:style>
  <w:style w:type="paragraph" w:styleId="Style26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shd w:fill="auto" w:val="clear"/>
      <w:vertAlign w:val="baseline"/>
      <w:em w:val="none"/>
      <w:lang w:bidi="ar-SA" w:val="ru-RU" w:eastAsia="zh-CN"/>
    </w:rPr>
  </w:style>
  <w:style w:type="paragraph" w:styleId="Style28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9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30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31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32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ru-RU" w:eastAsia="zh-CN"/>
    </w:rPr>
  </w:style>
  <w:style w:type="paragraph" w:styleId="Style33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5">
    <w:name w:val="Заголовок таблицы"/>
    <w:basedOn w:val="Style34"/>
    <w:qFormat/>
    <w:pPr>
      <w:suppressAutoHyphens w:val="true"/>
      <w:jc w:val="center"/>
    </w:pPr>
    <w:rPr>
      <w:b/>
      <w:bCs/>
    </w:rPr>
  </w:style>
  <w:style w:type="paragraph" w:styleId="Style36">
    <w:name w:val="Caption"/>
    <w:basedOn w:val="Normal"/>
    <w:qFormat/>
    <w:pPr>
      <w:suppressAutoHyphens w:val="true"/>
      <w:overflowPunct w:val="false"/>
      <w:jc w:val="center"/>
      <w:textAlignment w:val="auto"/>
    </w:pPr>
    <w:rPr>
      <w:b/>
      <w:bCs/>
    </w:rPr>
  </w:style>
  <w:style w:type="paragraph" w:styleId="Style3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8">
    <w:name w:val="Head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szCs w:val="21"/>
    </w:rPr>
  </w:style>
  <w:style w:type="paragraph" w:styleId="Style39">
    <w:name w:val="Foot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gorod-kamyshlov.ru/economy/initsiativnoe-byudzhetirovanie/" TargetMode="External"/><Relationship Id="rId4" Type="http://schemas.openxmlformats.org/officeDocument/2006/relationships/hyperlink" Target="http://gorod-kamyshlov.ru/economy/initsiativnoe-byudzhetirovanie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</TotalTime>
  <Application>LibreOffice/7.0.6.2$Linux_X86_64 LibreOffice_project/00$Build-2</Application>
  <AppVersion>15.0000</AppVersion>
  <Pages>3</Pages>
  <Words>538</Words>
  <Characters>3963</Characters>
  <CharactersWithSpaces>4527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2020-02-11T05:04:00Z</dcterms:created>
  <dc:creator>Меньшенина Татьяна Борисовна</dc:creator>
  <dc:description/>
  <dc:language>ru-RU</dc:language>
  <cp:lastModifiedBy/>
  <cp:lastPrinted>2022-11-17T14:49:01Z</cp:lastPrinted>
  <dcterms:modified xsi:type="dcterms:W3CDTF">2022-11-17T14:49:57Z</dcterms:modified>
  <cp:revision>22</cp:revision>
  <dc:subject/>
  <dc:title> </dc:title>
</cp:coreProperties>
</file>