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40" w:before="0" w:after="0"/>
        <w:jc w:val="center"/>
        <w:rPr/>
      </w:pPr>
      <w:r>
        <w:rPr>
          <w:rStyle w:val="Style5"/>
          <w:rFonts w:cs="Times New Roman" w:ascii="Liberation Serif" w:hAnsi="Liberation Serif"/>
        </w:rPr>
        <w:drawing>
          <wp:inline distT="0" distB="0" distL="0" distR="0">
            <wp:extent cx="396240" cy="60198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cs="Times New Roman" w:ascii="Liberation Serif" w:hAnsi="Liberation Serif"/>
          <w:sz w:val="28"/>
          <w:szCs w:val="28"/>
        </w:rPr>
        <w:t xml:space="preserve"> 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12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12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cs="Times New Roman" w:ascii="Liberation Serif" w:hAnsi="Liberation Serif"/>
          <w:b/>
          <w:bCs/>
          <w:sz w:val="28"/>
          <w:szCs w:val="28"/>
        </w:rPr>
        <w:t xml:space="preserve">от </w:t>
      </w:r>
      <w:r>
        <w:rPr>
          <w:rStyle w:val="Style5"/>
          <w:rFonts w:eastAsia="Times New Roman" w:cs="Times New Roman" w:ascii="Liberation Serif" w:hAnsi="Liberation Serif"/>
          <w:b/>
          <w:bCs/>
          <w:sz w:val="28"/>
          <w:szCs w:val="28"/>
        </w:rPr>
        <w:t>1</w:t>
      </w:r>
      <w:r>
        <w:rPr>
          <w:rStyle w:val="Style5"/>
          <w:rFonts w:eastAsia="Times New Roman" w:cs="Times New Roman" w:ascii="Liberation Serif" w:hAnsi="Liberation Serif"/>
          <w:b/>
          <w:bCs/>
          <w:sz w:val="28"/>
          <w:szCs w:val="28"/>
        </w:rPr>
        <w:t>5</w:t>
      </w:r>
      <w:r>
        <w:rPr>
          <w:rStyle w:val="Style5"/>
          <w:rFonts w:cs="Times New Roman" w:ascii="Liberation Serif" w:hAnsi="Liberation Serif"/>
          <w:b/>
          <w:bCs/>
          <w:sz w:val="28"/>
          <w:szCs w:val="28"/>
        </w:rPr>
        <w:t xml:space="preserve">.06.2022    № </w:t>
      </w:r>
      <w:r>
        <w:rPr>
          <w:rStyle w:val="Style5"/>
          <w:rFonts w:eastAsia="Times New Roman" w:cs="Times New Roman" w:ascii="Liberation Serif" w:hAnsi="Liberation Serif"/>
          <w:b/>
          <w:bCs/>
          <w:sz w:val="28"/>
          <w:szCs w:val="28"/>
        </w:rPr>
        <w:t>4</w:t>
      </w:r>
      <w:r>
        <w:rPr>
          <w:rStyle w:val="Style5"/>
          <w:rFonts w:eastAsia="Times New Roman" w:cs="Times New Roman" w:ascii="Liberation Serif" w:hAnsi="Liberation Serif"/>
          <w:b/>
          <w:bCs/>
          <w:sz w:val="28"/>
          <w:szCs w:val="28"/>
        </w:rPr>
        <w:t>9</w:t>
      </w:r>
      <w:r>
        <w:rPr>
          <w:rStyle w:val="Style5"/>
          <w:rFonts w:eastAsia="Times New Roman" w:cs="Times New Roman" w:ascii="Liberation Serif" w:hAnsi="Liberation Serif"/>
          <w:b/>
          <w:bCs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12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многоквартирного жилого дома</w:t>
      </w: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 по адресу: Свердловская область, город Камышлов, улица Ленинградская, дом 6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региональной адресной программой «Переселение граждан на территории Свердловской области из аварийного жилищного фонда в 2019-2025 годах», утвержденной Постановлением Правительства Свердловской области от 01.04.2019 года № 208-ПП, в связи с признанием многоквартирного дома по адресу: Свердловская область, город Камышлов, улица Ленинградская, дом 6 аварийным и подлежащим сносу, администрация Камышловского городского округа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shd w:fill="FFFFFF" w:val="clear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66:46:0107001:1111, общей площадью 696,0 кв.м. расположенный по адресу: Свердловская область, город Камышлов, улица Ленинградская, дом 6, 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5 в жилом доме по адресу: Свердловская область, город Камышлов, улица Ленинградская, дом 6, с кадастровым номером 66:46:0107001:1185, общей площадью 18,6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-квартиру № 7 в жилом доме по адресу: Свердловская область, город Камышлов, улица Ленинградская, дом 6, с кадастровым номером 66:46:0107001:1778, общей площадью 31,6 кв.м.;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(Макарова Н.Б.):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 в течение десяти дней со дня подписания настоящего постановления направить копию правообладателям изымаемой недвижимости, в порядке, установленном статьей 56.6 Земельного кодекса Российской Федерации и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 подготовить и направить собственникам изымаемой недвижимости проект соглашения об изъятии недвижимости в порядке, установленном законодательством Российской Федерации.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Отделу жилищно-коммунального хозяйства администрации Камышловского городского округа (Семеновой Л.А.) провести мероприятия по определению размера возмещения за изымаемое имущество. 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Настоящее постановление действует в течение трех лет со дня его подписания.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 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</w:t>
        <w:tab/>
        <w:t xml:space="preserve">       </w:t>
        <w:tab/>
        <w:t xml:space="preserve">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LibreOffice/7.0.6.2$Linux_X86_64 LibreOffice_project/00$Build-2</Application>
  <AppVersion>15.0000</AppVersion>
  <Pages>2</Pages>
  <Words>379</Words>
  <Characters>2734</Characters>
  <CharactersWithSpaces>3144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2022-05-24T10:19:00Z</dcterms:created>
  <dc:creator>Архитектура</dc:creator>
  <dc:description/>
  <dc:language>ru-RU</dc:language>
  <cp:lastModifiedBy/>
  <cp:lastPrinted>2022-06-15T15:43:11Z</cp:lastPrinted>
  <dcterms:modified xsi:type="dcterms:W3CDTF">2022-06-15T15:44:15Z</dcterms:modified>
  <cp:revision>3</cp:revision>
  <dc:subject/>
  <dc:title>Градостроительный план земельного участка</dc:title>
</cp:coreProperties>
</file>