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before="120" w:after="120"/>
        <w:jc w:val="center"/>
        <w:rPr/>
      </w:pPr>
      <w:r>
        <w:rPr/>
        <w:drawing>
          <wp:inline distT="0" distB="0" distL="0" distR="0">
            <wp:extent cx="419735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00" t="-1403" r="-2300" b="-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18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18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от 1</w:t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8</w:t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.11.2022 № 107</w:t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8</w:t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рисков причинения </w:t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вреда (ущерба) охраняемых законом ценностям</w:t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при осуществлении муниципального земельного контроля </w:t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 на 2023 год</w:t>
      </w:r>
    </w:p>
    <w:p>
      <w:pPr>
        <w:pStyle w:val="Style18"/>
        <w:widowControl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18"/>
        <w:widowControl/>
        <w:tabs>
          <w:tab w:val="clear" w:pos="708"/>
        </w:tabs>
        <w:autoSpaceDE w:val="false"/>
        <w:ind w:left="-142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Земельным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с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нарушениями обязательных требований, требований, установленных муниципальными правовыми актами, Положением о муниципальном земельном контроле на территории Камышловского городского округа, утвержденным решением Думой Камышловского городского округа от 19.08.2021 № 636,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8"/>
        <w:widowControl/>
        <w:tabs>
          <w:tab w:val="clear" w:pos="708"/>
        </w:tabs>
        <w:autoSpaceDE w:val="false"/>
        <w:ind w:left="-142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widowControl/>
        <w:numPr>
          <w:ilvl w:val="0"/>
          <w:numId w:val="2"/>
        </w:numPr>
        <w:autoSpaceDE w:val="false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программу 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2023 год (далее – Программа) (прилагается).</w:t>
      </w:r>
    </w:p>
    <w:p>
      <w:pPr>
        <w:pStyle w:val="Style24"/>
        <w:widowControl/>
        <w:numPr>
          <w:ilvl w:val="0"/>
          <w:numId w:val="2"/>
        </w:numPr>
        <w:autoSpaceDE w:val="false"/>
        <w:ind w:left="0" w:right="0" w:firstLine="36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8"/>
        <w:widowControl w:val="false"/>
        <w:suppressAutoHyphens w:val="true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                                                                            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УТВЕРЖДЕНА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8"/>
        <w:widowControl w:val="false"/>
        <w:suppressAutoHyphens w:val="true"/>
        <w:ind w:left="0" w:right="0" w:firstLine="538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18.11.2022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1078</w:t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2023 год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numPr>
          <w:ilvl w:val="0"/>
          <w:numId w:val="3"/>
        </w:numPr>
        <w:ind w:left="0" w:right="0" w:firstLine="36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Анализ текущего состояния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>
      <w:pPr>
        <w:pStyle w:val="Style24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требований, установленных федеральным законодательством, законодательством Свердловской области и муниципальными правовыми актами Камышловского городского округа в сфере земельных отношений, требований по использованию, охране, защите земель. Реестр субъектов по данному виду муниципального контроля размещен на официальном сайте администрации Камышловского городского округа в сети Интернет (http://gorod-kamyshlov.ru) в разделе Муниципальный контроль// Реестры подконтрольных субъектов. </w:t>
      </w:r>
    </w:p>
    <w:p>
      <w:pPr>
        <w:pStyle w:val="Style18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2023 год проведение проверок в рамках осуществления муниципального земельного контроля не запланировано.</w:t>
      </w:r>
    </w:p>
    <w:p>
      <w:pPr>
        <w:pStyle w:val="Style18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лиц, индивидуальных предпринимателей, граждан, размещены перечни и тексты правовых актов, содержащих требования, оценка соблюдения которых, является предметом муниципального земельного контроля, реестр подконтрольных субъектов, результаты проведенных проверок, обобщение практики осуществления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в действующие нормативные акты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Камышловского городского округа, повышение общего уровня правовой культуры. </w:t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Несоблюдение требований земельного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характера.</w:t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numPr>
          <w:ilvl w:val="0"/>
          <w:numId w:val="3"/>
        </w:numPr>
        <w:ind w:left="0" w:right="0" w:firstLine="36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 реализации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2023 год.</w:t>
      </w:r>
    </w:p>
    <w:p>
      <w:pPr>
        <w:pStyle w:val="Style24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  <w:shd w:fill="FFFF00" w:val="clear"/>
        </w:rPr>
      </w:pPr>
      <w:r>
        <w:rPr>
          <w:rFonts w:ascii="Liberation Serif" w:hAnsi="Liberation Serif"/>
          <w:b/>
          <w:sz w:val="28"/>
          <w:szCs w:val="28"/>
          <w:shd w:fill="FFFF00" w:val="clear"/>
        </w:rPr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Настоящая программа разработана на 2023 год,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Целями профилактической работы являются: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0" w:name="dst100485"/>
      <w:bookmarkEnd w:id="0"/>
      <w:r>
        <w:rPr>
          <w:rFonts w:ascii="Liberation Serif" w:hAnsi="Liberation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Style18"/>
        <w:ind w:left="0" w:right="0" w:firstLine="709"/>
        <w:jc w:val="both"/>
        <w:rPr/>
      </w:pPr>
      <w:bookmarkStart w:id="1" w:name="dst100486"/>
      <w:bookmarkEnd w:id="1"/>
      <w:r>
        <w:rPr>
          <w:rStyle w:val="Style11"/>
          <w:rFonts w:ascii="Liberation Serif" w:hAnsi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Style w:val="Style11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Задачами профилактической работы являются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rPr/>
        <w:t xml:space="preserve"> </w:t>
      </w:r>
      <w:r>
        <w:rPr>
          <w:rStyle w:val="Style11"/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rPr/>
        <w:t xml:space="preserve"> </w:t>
      </w:r>
      <w:r>
        <w:rPr>
          <w:rStyle w:val="Style11"/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rPr/>
        <w:t xml:space="preserve"> </w:t>
      </w:r>
      <w:r>
        <w:rPr>
          <w:rStyle w:val="Style11"/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p>
      <w:pPr>
        <w:pStyle w:val="Style1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numPr>
          <w:ilvl w:val="0"/>
          <w:numId w:val="3"/>
        </w:numPr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>
      <w:pPr>
        <w:pStyle w:val="Style24"/>
        <w:ind w:left="36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Срок реализации программы: 2023 год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осуществлении муниципального земельного контроля могут проводиться следующие виды профилактических мероприятий: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Информирование;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Объявление предостережения о недопустимости нарушения обязательных требований;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Консультирование;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Обобщение правоприменительной практики.</w:t>
      </w:r>
    </w:p>
    <w:p>
      <w:pPr>
        <w:pStyle w:val="Style18"/>
        <w:widowControl/>
        <w:shd w:fill="FFFFFF" w:val="clear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Информирование</w:t>
      </w:r>
      <w:bookmarkStart w:id="2" w:name="dst100511"/>
      <w:bookmarkEnd w:id="2"/>
      <w:r>
        <w:rPr>
          <w:rStyle w:val="Style11"/>
          <w:rFonts w:ascii="Liberation Serif" w:hAnsi="Liberation Serif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Style w:val="Style11"/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сети «Интернет», в средствах массовой информации и в иных формах.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bookmarkStart w:id="3" w:name="dst100512"/>
      <w:bookmarkStart w:id="4" w:name="dst100549"/>
      <w:bookmarkEnd w:id="3"/>
      <w:bookmarkEnd w:id="4"/>
      <w:r>
        <w:rPr>
          <w:rStyle w:val="Style11"/>
          <w:rFonts w:eastAsia="Calibri" w:ascii="Liberation Serif" w:hAnsi="Liberation Serif"/>
          <w:sz w:val="28"/>
          <w:szCs w:val="28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5" w:name="dst100550"/>
      <w:bookmarkStart w:id="6" w:name="dst100551"/>
      <w:bookmarkEnd w:id="5"/>
      <w:bookmarkEnd w:id="6"/>
      <w:r>
        <w:rPr>
          <w:rFonts w:ascii="Liberation Serif" w:hAnsi="Liberation Serif"/>
          <w:sz w:val="28"/>
          <w:szCs w:val="28"/>
        </w:rPr>
        <w:t xml:space="preserve">Контролируемое лицо вправе после получения предостережения подать в органы муниципального контроля возражение в отношении указанного предостережения. </w:t>
      </w:r>
      <w:bookmarkStart w:id="7" w:name="dst100552"/>
      <w:bookmarkEnd w:id="7"/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8" w:name="dst100045"/>
      <w:bookmarkStart w:id="9" w:name="dst100032"/>
      <w:bookmarkEnd w:id="8"/>
      <w:bookmarkEnd w:id="9"/>
      <w:r>
        <w:rPr>
          <w:rFonts w:ascii="Liberation Serif" w:hAnsi="Liberation Serif"/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Органы муниципального контроля осуществляют учет объявленных им предостережений и использует соответствующие данные для проведения контрольных мероприятий.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Консультирование контролируемых лиц </w:t>
      </w:r>
      <w:r>
        <w:rPr>
          <w:rStyle w:val="Style11"/>
          <w:rFonts w:eastAsia="Calibri" w:ascii="Liberation Serif" w:hAnsi="Liberation Serif"/>
          <w:sz w:val="28"/>
          <w:szCs w:val="28"/>
        </w:rPr>
        <w:t xml:space="preserve">и их представителей по вопросам, связанным с организацией и осуществлением муниципального контроля, </w:t>
      </w:r>
      <w:r>
        <w:rPr>
          <w:rStyle w:val="Style11"/>
          <w:rFonts w:ascii="Liberation Serif" w:hAnsi="Liberation Serif"/>
          <w:sz w:val="28"/>
          <w:szCs w:val="28"/>
        </w:rPr>
        <w:t xml:space="preserve">проводится в устной и письменной форме без взимания платы. </w:t>
      </w:r>
    </w:p>
    <w:p>
      <w:pPr>
        <w:pStyle w:val="Style18"/>
        <w:widowControl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eastAsia="Calibri"/>
          <w:sz w:val="28"/>
          <w:szCs w:val="28"/>
        </w:rPr>
      </w:pPr>
      <w:bookmarkStart w:id="10" w:name="dst100556"/>
      <w:bookmarkEnd w:id="10"/>
      <w:r>
        <w:rPr>
          <w:rFonts w:eastAsia="Calibri" w:ascii="Liberation Serif" w:hAnsi="Liberation Serif"/>
          <w:sz w:val="28"/>
          <w:szCs w:val="28"/>
        </w:rPr>
        <w:t>а) местонахождение, контактные телефоны, адрес официального сайта администрации Камышловского городского округа в сети «Интернет» и адреса электронной почты;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</w:rPr>
        <w:t xml:space="preserve">б) график работы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органа муниципального контроля</w:t>
      </w:r>
      <w:r>
        <w:rPr>
          <w:rStyle w:val="Style11"/>
          <w:rFonts w:eastAsia="Calibri" w:ascii="Liberation Serif" w:hAnsi="Liberation Serif"/>
          <w:sz w:val="28"/>
          <w:szCs w:val="28"/>
        </w:rPr>
        <w:t>, время приема посетителей;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</w:rPr>
        <w:t xml:space="preserve">г) перечень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нормативных правовых актов, регулирующих осуществление муниципального контроля;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д) перечень актов, содержащих обязательные требования.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Камышловского городского округа о предоставлении письменного ответа в порядке, установленном Федеральным </w:t>
      </w:r>
      <w:r>
        <w:fldChar w:fldCharType="begin"/>
      </w:r>
      <w:r>
        <w:rPr>
          <w:sz w:val="28"/>
          <w:szCs w:val="28"/>
          <w:rFonts w:ascii="Liberation Serif" w:hAnsi="Liberation Serif"/>
        </w:rPr>
        <w:instrText> HYPERLINK "http://www.consultant.ru/document/cons_doc_LAW_314820/" \l "dst0" \n _top</w:instrText>
      </w:r>
      <w:r>
        <w:rPr>
          <w:sz w:val="28"/>
          <w:szCs w:val="28"/>
          <w:rFonts w:ascii="Liberation Serif" w:hAnsi="Liberation Serif"/>
        </w:rPr>
        <w:fldChar w:fldCharType="separate"/>
      </w:r>
      <w:r>
        <w:rPr>
          <w:rFonts w:ascii="Liberation Serif" w:hAnsi="Liberation Serif"/>
          <w:sz w:val="28"/>
          <w:szCs w:val="28"/>
        </w:rPr>
        <w:t>законом</w:t>
      </w:r>
      <w:r>
        <w:rPr>
          <w:sz w:val="28"/>
          <w:szCs w:val="28"/>
          <w:rFonts w:ascii="Liberation Serif" w:hAnsi="Liberation Serif"/>
        </w:rPr>
        <w:fldChar w:fldCharType="end"/>
      </w:r>
      <w:r>
        <w:rPr>
          <w:rStyle w:val="Style11"/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11" w:name="dst100558"/>
      <w:bookmarkStart w:id="12" w:name="dst100559"/>
      <w:bookmarkEnd w:id="11"/>
      <w:bookmarkEnd w:id="12"/>
      <w:r>
        <w:rPr>
          <w:rFonts w:ascii="Liberation Serif" w:hAnsi="Liberation Serif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13" w:name="dst100560"/>
      <w:bookmarkStart w:id="14" w:name="dst100561"/>
      <w:bookmarkStart w:id="15" w:name="dst100562"/>
      <w:bookmarkEnd w:id="13"/>
      <w:bookmarkEnd w:id="14"/>
      <w:bookmarkEnd w:id="15"/>
      <w:r>
        <w:rPr>
          <w:rFonts w:ascii="Liberation Serif" w:hAnsi="Liberation Serif"/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>
      <w:pPr>
        <w:pStyle w:val="Style18"/>
        <w:shd w:fill="FFFFFF" w:val="clear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Style w:val="Style11"/>
          <w:rFonts w:cs="Arial" w:ascii="Liberation Serif" w:hAnsi="Liberation Serif"/>
          <w:color w:val="000000"/>
          <w:sz w:val="28"/>
          <w:szCs w:val="28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</w:t>
        <w:br/>
        <w:t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Камышловского городского округа в информационно-телекоммуникационной сети Интернет письменного разъяснения, подписанного главой администрации Камышловского городского округа.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Рассмотрение письменных обращений осуществляется в порядке и сроки, установленные Федеральным законом от </w:t>
      </w:r>
      <w:r>
        <w:rPr>
          <w:rStyle w:val="Style11"/>
          <w:rFonts w:eastAsia="Calibri" w:ascii="Liberation Serif" w:hAnsi="Liberation Serif"/>
          <w:sz w:val="28"/>
          <w:szCs w:val="28"/>
        </w:rPr>
        <w:t>02.05.2006 № 59-ФЗ «О порядке рассмотрения обращений граждан Российской Федерации».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Обобщение правоприменительной практики. </w:t>
      </w:r>
      <w:r>
        <w:rPr>
          <w:rStyle w:val="Style11"/>
          <w:rFonts w:eastAsia="Calibri" w:cs="Liberation Serif" w:ascii="Liberation Serif" w:hAnsi="Liberation Serif"/>
          <w:sz w:val="28"/>
          <w:szCs w:val="28"/>
          <w:lang w:eastAsia="en-US"/>
        </w:rPr>
        <w:t xml:space="preserve">Орган муниципального контроля осуществляет обобщение правоприменительной практики </w:t>
      </w:r>
      <w:r>
        <w:rPr>
          <w:rStyle w:val="Style11"/>
          <w:rFonts w:eastAsia="Calibri"/>
          <w:sz w:val="28"/>
          <w:szCs w:val="28"/>
          <w:lang w:eastAsia="en-US"/>
        </w:rPr>
        <w:t>‎</w:t>
      </w:r>
      <w:r>
        <w:rPr>
          <w:rStyle w:val="Style11"/>
          <w:rFonts w:eastAsia="Calibri" w:cs="Liberation Serif" w:ascii="Liberation Serif" w:hAnsi="Liberation Serif"/>
          <w:sz w:val="28"/>
          <w:szCs w:val="28"/>
          <w:lang w:eastAsia="en-US"/>
        </w:rPr>
        <w:t>и проведения муниципального контроля один раз в год.</w:t>
      </w:r>
      <w:r>
        <w:rPr>
          <w:rStyle w:val="Style11"/>
          <w:rFonts w:eastAsia="Calibri" w:cs="Liberation Serif" w:ascii="Liberation Serif" w:hAnsi="Liberation Serif"/>
          <w:sz w:val="28"/>
          <w:szCs w:val="28"/>
          <w:shd w:fill="FFFF00" w:val="clear"/>
          <w:lang w:eastAsia="en-US"/>
        </w:rPr>
        <w:t xml:space="preserve"> 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>
        <w:rPr>
          <w:rStyle w:val="Style11"/>
          <w:sz w:val="28"/>
          <w:szCs w:val="28"/>
        </w:rPr>
        <w:t>‎</w:t>
      </w:r>
      <w:r>
        <w:rPr>
          <w:rStyle w:val="Style11"/>
          <w:rFonts w:cs="Liberation Serif" w:ascii="Liberation Serif" w:hAnsi="Liberation Serif"/>
          <w:sz w:val="28"/>
          <w:szCs w:val="28"/>
        </w:rPr>
        <w:t>о правоприменительной практике).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 xml:space="preserve">Доклад о правоприменительной практике утверждается главой Камышловского городского округа (первым заместителем главы администрации Камышловского городского округа) и размещается на официальном сайте администрации Камышловского городского округа в сети «Интернет» не позднее </w:t>
      </w:r>
      <w:r>
        <w:rPr>
          <w:rStyle w:val="Style11"/>
          <w:sz w:val="28"/>
          <w:szCs w:val="28"/>
        </w:rPr>
        <w:t>‎</w:t>
      </w:r>
      <w:r>
        <w:rPr>
          <w:rStyle w:val="Style11"/>
          <w:rFonts w:cs="Liberation Serif" w:ascii="Liberation Serif" w:hAnsi="Liberation Serif"/>
          <w:sz w:val="28"/>
          <w:szCs w:val="28"/>
        </w:rPr>
        <w:t>1 марта года, следующего за отчетным.</w:t>
      </w:r>
    </w:p>
    <w:p>
      <w:pPr>
        <w:pStyle w:val="Style18"/>
        <w:widowControl/>
        <w:autoSpaceDE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План-график профилактических мероприятий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536"/>
        <w:gridCol w:w="2628"/>
        <w:gridCol w:w="194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исполнитель- контрольный орган, уполномоченный на проведения муниципального земельного контроля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реализации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(размещения соответствующих сведений на официальных сайтах администрации Камышловского городского округа в сети «Интернет», в средствах массовой информации и в иных формах)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Объявление предостережения (при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 по мере необходимости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 по обращениям контролируемых лиц и их представителей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Обобщение правоприменительной практики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(обобщение практики осуществления муниципального земельного контроля и размещение на официальном сайте Камышловского городского округа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нарушений)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 в год</w:t>
            </w:r>
          </w:p>
        </w:tc>
      </w:tr>
    </w:tbl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numPr>
          <w:ilvl w:val="0"/>
          <w:numId w:val="5"/>
        </w:numPr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Показатели результативности и эффективности программы</w:t>
      </w:r>
      <w:r>
        <w:rPr>
          <w:rStyle w:val="Style11"/>
          <w:b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2022 год</w:t>
      </w:r>
    </w:p>
    <w:p>
      <w:pPr>
        <w:pStyle w:val="Style24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268" w:type="dxa"/>
        <w:jc w:val="left"/>
        <w:tblInd w:w="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167"/>
        <w:gridCol w:w="2519"/>
      </w:tblGrid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значения по сравнению с предыдущим отчетных периодом, (%)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профилактических мероприятий, указанных в разделе 2 Программы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90%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требований, требований, установленных муниципальными правовыми актами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80% опрошенных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недопустимости информации об установленных обязательных требованиях, требованиях, установленных муниципальными правовыми актами по осуществлению муниципального лесного контроля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значения по сравнению с предыдущим отчетным периодом, (%)</w:t>
            </w:r>
          </w:p>
        </w:tc>
      </w:tr>
    </w:tbl>
    <w:p>
      <w:pPr>
        <w:pStyle w:val="Style24"/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360" w:right="0" w:firstLine="34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Показатели результативности и эффективности мероприятия Программы за отчетный период размещаются на официальном сайте Камышловского городского округа в сети «Интернет».</w:t>
      </w:r>
    </w:p>
    <w:sectPr>
      <w:headerReference w:type="default" r:id="rId3"/>
      <w:type w:val="nextPage"/>
      <w:pgSz w:w="11906" w:h="16838"/>
      <w:pgMar w:left="1701" w:right="567" w:header="1134" w:top="112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8"/>
    <w:next w:val="Style18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Pt000003">
    <w:name w:val="pt-000003"/>
    <w:basedOn w:val="Style11"/>
    <w:qFormat/>
    <w:rPr/>
  </w:style>
  <w:style w:type="character" w:styleId="Pta0000004">
    <w:name w:val="pt-a0-000004"/>
    <w:basedOn w:val="Style11"/>
    <w:qFormat/>
    <w:rPr/>
  </w:style>
  <w:style w:type="character" w:styleId="WWCharLFO1LVL1">
    <w:name w:val="WW_CharLFO1LVL1"/>
    <w:qFormat/>
    <w:rPr>
      <w:b/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ривязка концевой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1">
    <w:name w:val="Body Text Indent"/>
    <w:basedOn w:val="Style18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8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LibreOffice/7.0.6.2$Linux_X86_64 LibreOffice_project/00$Build-2</Application>
  <AppVersion>15.0000</AppVersion>
  <Pages>9</Pages>
  <Words>1751</Words>
  <Characters>14150</Characters>
  <CharactersWithSpaces>16105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2022-09-27T10:48:00Z</dcterms:created>
  <dc:creator>Катя</dc:creator>
  <dc:description/>
  <dc:language>ru-RU</dc:language>
  <cp:lastModifiedBy/>
  <cp:lastPrinted>2022-11-18T15:12:37Z</cp:lastPrinted>
  <dcterms:modified xsi:type="dcterms:W3CDTF">2022-11-18T15:14:59Z</dcterms:modified>
  <cp:revision>8</cp:revision>
  <dc:subject/>
  <dc:title> </dc:title>
</cp:coreProperties>
</file>