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150" w:before="0" w:after="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62"/>
        <w:gridCol w:w="26"/>
        <w:gridCol w:w="2996"/>
        <w:gridCol w:w="1242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overflowPunct w:val="fals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b/>
                <w:bCs/>
                <w:color w:val="000000"/>
              </w:rPr>
              <w:t>УТВЕРЖДЕН</w:t>
            </w:r>
          </w:p>
          <w:p>
            <w:pPr>
              <w:pStyle w:val="Normal"/>
              <w:widowControl w:val="false"/>
              <w:overflowPunct w:val="fals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color w:val="00000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overflowPunct w:val="fals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color w:val="000000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overflowPunct w:val="fals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color w:val="000000"/>
              </w:rPr>
              <w:t>от _________ года</w:t>
            </w:r>
            <w:r>
              <w:rPr>
                <w:rFonts w:eastAsia="Times New Roman" w:cs="Liberation Serif;Times New Roma" w:ascii="Liberation Serif" w:hAnsi="Liberation Serif"/>
                <w:color w:val="000000"/>
                <w:lang w:eastAsia="ru-RU" w:bidi="ar-SA"/>
              </w:rPr>
              <w:t xml:space="preserve"> </w:t>
            </w:r>
            <w:r>
              <w:rPr>
                <w:rFonts w:cs="Liberation Serif;Times New Roma" w:ascii="Liberation Serif" w:hAnsi="Liberation Serif"/>
                <w:color w:val="000000"/>
              </w:rPr>
              <w:t>№ 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2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3"/>
                <w:rFonts w:eastAsia="Calibri"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7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58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3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8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6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6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5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11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</w:tr>
      <w:tr>
        <w:trPr>
          <w:trHeight w:val="3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Цель 20.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Задача 20.1.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56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8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20. Модернизация школьных систем образования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b/>
                <w:bCs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8"/>
                <w:rFonts w:eastAsia="Calibri" w:ascii="Liberation Serif" w:hAnsi="Liberation Serif"/>
                <w:sz w:val="20"/>
                <w:szCs w:val="20"/>
              </w:rPr>
              <w:t>1. Площадь территорий, предназначенных для развития жилищного строительства, на которых разработаны проекты планировки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2. Площадь введенного жилья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3. 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4. 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5. Обеспеченность актуализированными документами территориального планирования и градостроительного зонирования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6. Подготовка проектной документации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7. Количество муниципальных маршрутов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8.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9.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10.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11.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12. Количество светоточек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13. ремонт фонтана в Центральном городском сквере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14. Количество обустроенных детских площадок</w:t>
            </w:r>
          </w:p>
        </w:tc>
      </w:tr>
      <w:tr>
        <w:trPr>
          <w:trHeight w:val="31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15. Количество предоставленных субсидий</w:t>
            </w:r>
          </w:p>
        </w:tc>
      </w:tr>
      <w:tr>
        <w:trPr>
          <w:trHeight w:val="2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16. Количество технологических присоединений к электрическим сетям</w:t>
            </w:r>
          </w:p>
        </w:tc>
      </w:tr>
      <w:tr>
        <w:trPr>
          <w:trHeight w:val="4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17. Количество реализованных проектов</w:t>
            </w:r>
          </w:p>
        </w:tc>
      </w:tr>
      <w:tr>
        <w:trPr>
          <w:trHeight w:val="3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18. Ремонт мест накопления ТКО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19. Создание контейнерных площадок (мест накопления ТКО)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20.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21. Ликвидация несанкционированных свалок</w:t>
            </w:r>
          </w:p>
        </w:tc>
      </w:tr>
      <w:tr>
        <w:trPr>
          <w:trHeight w:val="52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22. Объем транспортированных и утилизированных автомобильных покрышек</w:t>
            </w:r>
          </w:p>
        </w:tc>
      </w:tr>
      <w:tr>
        <w:trPr>
          <w:trHeight w:val="65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23.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24.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25. Протяженность обслуживаемых дорог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26. Количество обслуживаемых светофорных объектов</w:t>
            </w:r>
          </w:p>
        </w:tc>
      </w:tr>
      <w:tr>
        <w:trPr>
          <w:trHeight w:val="3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27. Количество граждан, получивших льготу (бани)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28.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29.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30. Количество граждан (организаций), получивших памятные подарки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31. Количество граждан, получающих субсидии СО</w:t>
            </w:r>
          </w:p>
        </w:tc>
      </w:tr>
      <w:tr>
        <w:trPr>
          <w:trHeight w:val="38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32. Количество граждан, получающих компенсации расходов СО</w:t>
            </w:r>
          </w:p>
        </w:tc>
      </w:tr>
      <w:tr>
        <w:trPr>
          <w:trHeight w:val="28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33. Количество граждан, получающих компенсации расходов РФ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34. Количество граждан, получивших меру социальной поддержки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35. Количество мероприятий (для граждан старшего поколения)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36. Количество граждан, получающих компенсации (кап.ремонт)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37. Количество граждан, получивших вознаграждение (знак отличия)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38.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39.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40. Создание новых рабочих мест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41. 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42. Количество организованных и проведенных мероприятий для субъектов малого и среднего предпринимательства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43. Процент охвата оповещения всех категорий населения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44. Доля укрываемого населения в защитных сооружениях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45.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46.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7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47. Количество подразделений</w:t>
            </w:r>
          </w:p>
        </w:tc>
      </w:tr>
      <w:tr>
        <w:trPr>
          <w:trHeight w:val="3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48. Объемы запасов</w:t>
            </w:r>
          </w:p>
        </w:tc>
      </w:tr>
      <w:tr>
        <w:trPr>
          <w:trHeight w:val="33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49. Готовность эвакоорганов</w:t>
            </w:r>
          </w:p>
        </w:tc>
      </w:tr>
      <w:tr>
        <w:trPr>
          <w:trHeight w:val="40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50. Объем запасов резерва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51. Качество приема, обработки и передачи информации</w:t>
            </w:r>
          </w:p>
        </w:tc>
      </w:tr>
      <w:tr>
        <w:trPr>
          <w:trHeight w:val="4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52. Повышение уровня пожарной защиты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53. Оснащение пожарным инвентарем, оборудование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54.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55.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56.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57.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58.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59.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60.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61.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62. Доля НПА и иных материалов, подлежащих обязательному опубликованию</w:t>
            </w:r>
          </w:p>
        </w:tc>
      </w:tr>
      <w:tr>
        <w:trPr>
          <w:trHeight w:val="3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63. Количество составленных протоколов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64. Процент реализации</w:t>
            </w:r>
          </w:p>
        </w:tc>
      </w:tr>
      <w:tr>
        <w:trPr>
          <w:trHeight w:val="3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65. Исполнение бюджетной сметы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66.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67.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68.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69. Количество молодых семей, получивших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70.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71.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72.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73.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Обьем финансирования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</w:rPr>
              <w:t>муниципальной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2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527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093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203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30</w:t>
            </w: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88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2021 год - 289 218 923,78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2022 год - 411 719 239,63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 xml:space="preserve">2023 год - 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748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733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415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89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 xml:space="preserve">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 xml:space="preserve">2024 год - 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388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973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579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0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 xml:space="preserve">2025 год - 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318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702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903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 xml:space="preserve">0 рублей, </w:t>
              <w:br/>
              <w:t>2026 год - 184 872 571,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 xml:space="preserve">0 рублей, </w:t>
              <w:br/>
              <w:t>2027 год - 184 872 571,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0 рублей</w:t>
            </w:r>
          </w:p>
        </w:tc>
      </w:tr>
      <w:tr>
        <w:trPr>
          <w:trHeight w:val="404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>
          <w:trHeight w:val="404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965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838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593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88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2021 год - 96 176 468,23 рублей, </w:t>
              <w:br/>
              <w:t xml:space="preserve">2022 год - 139 507 038,76 рублей, </w:t>
              <w:br/>
              <w:t xml:space="preserve">2023 год - 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354 324 386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89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2024 год - 90 672 400,0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2025 год - 94 246 100,0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2026 год - 95 456 100,0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2027 год - 95 456 100,0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340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796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827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33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2021 год - 66 836 504,16 рублей, </w:t>
              <w:br/>
              <w:t xml:space="preserve">2022 год - 49 056 492,02 рублей, </w:t>
              <w:br/>
              <w:t>2023 год - 1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75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325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631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15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2024 год - 12 921 700,0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2025 год - 12 920 700,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0 рублей, </w:t>
              <w:br/>
              <w:t>2026 год - 11 867 900,0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2027 год - 11 867 900,0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1 220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457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 7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82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09</w:t>
            </w: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2021 год - 126 205 951,39 рублей, </w:t>
              <w:br/>
              <w:t xml:space="preserve">2022 год - 223 155 708,85 рублей, </w:t>
              <w:br/>
              <w:t>2023 год - 2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1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9 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083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397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85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 xml:space="preserve">2024 год - 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285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379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479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,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0 рублей, </w:t>
              <w:br/>
              <w:t xml:space="preserve">2025 год - 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211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536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 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1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03,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0 рублей, </w:t>
              <w:br/>
              <w:t>2026 год - 77 548 571,0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рублей, </w:t>
              <w:br/>
              <w:t>2027 год - 77 548 571,0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0</w:t>
            </w: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1125" w:hRule="atLeast"/>
        </w:trPr>
        <w:tc>
          <w:tcPr>
            <w:tcW w:w="26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eastAsia="Calibri"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eastAsia="Calibri"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Liberation Serif" w:ascii="Liberation Serif" w:hAnsi="Liberation Serif"/>
                <w:color w:val="000000" w:themeColor="text1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spacing w:before="0" w:after="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Liberation Serif" w:hAnsi="Liberation Serif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327" w:gutter="0" w:header="0" w:top="552" w:footer="0" w:bottom="144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2">
    <w:name w:val="Heading 2"/>
    <w:basedOn w:val="Normal"/>
    <w:next w:val="Normal"/>
    <w:qFormat/>
    <w:pPr>
      <w:overflowPunct w:val="false"/>
      <w:spacing w:lineRule="auto" w:line="360" w:before="240" w:after="240"/>
      <w:ind w:firstLine="709"/>
      <w:jc w:val="both"/>
      <w:outlineLvl w:val="1"/>
    </w:pPr>
    <w:rPr>
      <w:rFonts w:eastAsia="Calibri" w:eastAsiaTheme="minorHAnsi"/>
      <w:b/>
      <w:i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умерация строк"/>
    <w:basedOn w:val="DefaultParagraphFont"/>
    <w:semiHidden/>
    <w:rPr/>
  </w:style>
  <w:style w:type="character" w:styleId="Style14" w:customStyle="1">
    <w:name w:val="Интернет-ссылка"/>
    <w:rPr>
      <w:color w:val="0000FF"/>
      <w:u w:val="single"/>
    </w:rPr>
  </w:style>
  <w:style w:type="character" w:styleId="FakeCharacterStyle" w:customStyle="1">
    <w:name w:val="FakeCharacterStyle"/>
    <w:qFormat/>
    <w:rPr>
      <w:sz w:val="1"/>
      <w:szCs w:val="1"/>
    </w:rPr>
  </w:style>
  <w:style w:type="character" w:styleId="CharacterStyle0" w:customStyle="1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 w:customStyle="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 w:customStyle="1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 w:customStyle="1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 w:customStyle="1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 w:customStyle="1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 w:customStyle="1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 w:customStyle="1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 w:customStyle="1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 w:customStyle="1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 w:customStyle="1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 w:customStyle="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 w:customStyle="1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 w:customStyle="1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 w:customStyle="1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 w:customStyle="1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Основной текст_"/>
    <w:basedOn w:val="DefaultParagraphFont"/>
    <w:qFormat/>
    <w:rPr>
      <w:sz w:val="23"/>
      <w:szCs w:val="23"/>
      <w:shd w:fill="FFFFFF" w:val="clear"/>
    </w:rPr>
  </w:style>
  <w:style w:type="character" w:styleId="0pt" w:customStyle="1">
    <w:name w:val="Основной текст + Интервал 0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FontStyle11" w:customStyle="1">
    <w:name w:val="Font Style11"/>
    <w:basedOn w:val="DefaultParagraphFont"/>
    <w:qFormat/>
    <w:rPr>
      <w:rFonts w:ascii="Courier New" w:hAnsi="Courier New" w:cs="Courier New"/>
      <w:spacing w:val="-10"/>
      <w:sz w:val="26"/>
      <w:szCs w:val="26"/>
    </w:rPr>
  </w:style>
  <w:style w:type="character" w:styleId="611pt" w:customStyle="1">
    <w:name w:val="Основной текст (6) + 11 pt"/>
    <w:basedOn w:val="DefaultParagraphFont"/>
    <w:qFormat/>
    <w:rPr>
      <w:rFonts w:ascii="Times New Roman" w:hAnsi="Times New Roman" w:cs="Times New Roman"/>
      <w:sz w:val="22"/>
      <w:szCs w:val="22"/>
      <w:shd w:fill="FFFFFF" w:val="clear"/>
    </w:rPr>
  </w:style>
  <w:style w:type="character" w:styleId="Pagenumber">
    <w:name w:val="page number"/>
    <w:basedOn w:val="DefaultParagraphFont"/>
    <w:qFormat/>
    <w:rPr/>
  </w:style>
  <w:style w:type="character" w:styleId="FontStyle30" w:customStyle="1">
    <w:name w:val="Font Style30"/>
    <w:qFormat/>
    <w:rPr>
      <w:rFonts w:ascii="Times New Roman" w:hAnsi="Times New Roman" w:cs="Times New Roman"/>
      <w:sz w:val="26"/>
      <w:szCs w:val="26"/>
    </w:rPr>
  </w:style>
  <w:style w:type="character" w:styleId="Style17" w:customStyle="1">
    <w:name w:val="Посещённая гиперссылка"/>
    <w:rPr>
      <w:color w:val="80000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next w:val="Normal"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 w:customStyle="1">
    <w:name w:val="ParagraphStyle0"/>
    <w:qFormat/>
    <w:pPr>
      <w:widowControl/>
      <w:suppressAutoHyphens w:val="false"/>
      <w:bidi w:val="0"/>
      <w:spacing w:before="0" w:after="0"/>
      <w:ind w:left="28" w:right="28" w:hanging="0"/>
      <w:jc w:val="center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" w:customStyle="1">
    <w:name w:val="ParagraphStyle1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2" w:customStyle="1">
    <w:name w:val="ParagraphStyle2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3" w:customStyle="1">
    <w:name w:val="ParagraphStyle3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4" w:customStyle="1">
    <w:name w:val="ParagraphStyle4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5" w:customStyle="1">
    <w:name w:val="ParagraphStyle5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6" w:customStyle="1">
    <w:name w:val="ParagraphStyle6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7" w:customStyle="1">
    <w:name w:val="ParagraphStyle7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8" w:customStyle="1">
    <w:name w:val="ParagraphStyle8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9" w:customStyle="1">
    <w:name w:val="ParagraphStyle9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0" w:customStyle="1">
    <w:name w:val="ParagraphStyle10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1" w:customStyle="1">
    <w:name w:val="ParagraphStyle11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2" w:customStyle="1">
    <w:name w:val="ParagraphStyle12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3" w:customStyle="1">
    <w:name w:val="ParagraphStyle13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4" w:customStyle="1">
    <w:name w:val="ParagraphStyle14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5" w:customStyle="1">
    <w:name w:val="ParagraphStyle15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Style23"/>
    <w:pPr/>
    <w:rPr/>
  </w:style>
  <w:style w:type="paragraph" w:styleId="Style26">
    <w:name w:val="Footer"/>
    <w:basedOn w:val="Style23"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hi-IN"/>
    </w:rPr>
  </w:style>
  <w:style w:type="paragraph" w:styleId="31" w:customStyle="1">
    <w:name w:val="Основной текст с отступом 31"/>
    <w:basedOn w:val="Normal"/>
    <w:qFormat/>
    <w:pPr>
      <w:overflowPunct w:val="false"/>
      <w:ind w:right="-902" w:firstLine="567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qFormat/>
    <w:pPr>
      <w:overflowPunct w:val="false"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pPr>
      <w:overflowPunct w:val="false"/>
      <w:spacing w:lineRule="auto" w:line="276" w:before="0" w:after="200"/>
      <w:ind w:left="720" w:hanging="0"/>
    </w:pPr>
    <w:rPr>
      <w:sz w:val="22"/>
      <w:szCs w:val="22"/>
      <w:lang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9" w:customStyle="1">
    <w:name w:val="АААОбычн"/>
    <w:basedOn w:val="Normal"/>
    <w:qFormat/>
    <w:pPr>
      <w:overflowPunct w:val="false"/>
      <w:spacing w:lineRule="auto" w:line="360" w:before="120" w:after="120"/>
      <w:ind w:firstLine="567"/>
      <w:jc w:val="both"/>
    </w:pPr>
    <w:rPr>
      <w:rFonts w:eastAsia="Calibri" w:eastAsiaTheme="minorHAnsi"/>
      <w:sz w:val="28"/>
      <w:szCs w:val="28"/>
      <w:lang w:eastAsia="en-US"/>
    </w:rPr>
  </w:style>
  <w:style w:type="paragraph" w:styleId="Style30" w:customStyle="1">
    <w:name w:val="АПереч"/>
    <w:basedOn w:val="Style29"/>
    <w:qFormat/>
    <w:pPr>
      <w:numPr>
        <w:ilvl w:val="0"/>
        <w:numId w:val="1"/>
      </w:numPr>
      <w:tabs>
        <w:tab w:val="clear" w:pos="720"/>
        <w:tab w:val="left" w:pos="1134" w:leader="none"/>
      </w:tabs>
      <w:ind w:left="0" w:firstLine="567"/>
    </w:pPr>
    <w:rPr/>
  </w:style>
  <w:style w:type="paragraph" w:styleId="Style31" w:customStyle="1">
    <w:name w:val="ААПереч"/>
    <w:basedOn w:val="Normal"/>
    <w:qFormat/>
    <w:pPr>
      <w:numPr>
        <w:ilvl w:val="0"/>
        <w:numId w:val="2"/>
      </w:numPr>
      <w:tabs>
        <w:tab w:val="clear" w:pos="720"/>
        <w:tab w:val="left" w:pos="1134" w:leader="none"/>
      </w:tabs>
      <w:overflowPunct w:val="false"/>
      <w:spacing w:lineRule="auto" w:line="360" w:before="0" w:after="0"/>
      <w:ind w:left="0" w:firstLine="567"/>
      <w:contextualSpacing/>
      <w:jc w:val="both"/>
    </w:pPr>
    <w:rPr>
      <w:rFonts w:ascii="Calibri" w:hAnsi="Calibri" w:cs="" w:asciiTheme="minorHAnsi" w:cstheme="minorBidi" w:hAnsiTheme="minorHAnsi"/>
      <w:sz w:val="28"/>
      <w:szCs w:val="28"/>
      <w:lang w:eastAsia="en-US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</w:pPr>
    <w:rPr>
      <w:rFonts w:ascii="Courier New" w:hAnsi="Courier New" w:cs="Courier New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hi-IN"/>
    </w:rPr>
  </w:style>
  <w:style w:type="paragraph" w:styleId="PlainText">
    <w:name w:val="Plain Text"/>
    <w:basedOn w:val="Normal"/>
    <w:qFormat/>
    <w:pPr>
      <w:overflowPunct w:val="false"/>
    </w:pPr>
    <w:rPr>
      <w:rFonts w:ascii="Courier New" w:hAnsi="Courier New" w:cs="Courier New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hi-IN"/>
    </w:rPr>
  </w:style>
  <w:style w:type="paragraph" w:styleId="Consnormal" w:customStyle="1">
    <w:name w:val="consnormal"/>
    <w:basedOn w:val="Normal"/>
    <w:qFormat/>
    <w:pPr>
      <w:overflowPunct w:val="false"/>
      <w:spacing w:before="75" w:after="75"/>
    </w:pPr>
    <w:rPr>
      <w:rFonts w:ascii="Arial" w:hAnsi="Arial" w:cs="Arial"/>
      <w:color w:val="000000"/>
    </w:rPr>
  </w:style>
  <w:style w:type="paragraph" w:styleId="Consplusnormal1" w:customStyle="1">
    <w:name w:val="consplusnormal"/>
    <w:basedOn w:val="Normal"/>
    <w:qFormat/>
    <w:pPr>
      <w:overflowPunct w:val="false"/>
      <w:spacing w:before="75" w:after="75"/>
    </w:pPr>
    <w:rPr>
      <w:rFonts w:ascii="Arial" w:hAnsi="Arial" w:cs="Arial"/>
      <w:color w:val="000000"/>
    </w:rPr>
  </w:style>
  <w:style w:type="paragraph" w:styleId="1" w:customStyle="1">
    <w:name w:val="Основной текст1"/>
    <w:basedOn w:val="Normal"/>
    <w:qFormat/>
    <w:pPr>
      <w:shd w:val="clear" w:color="auto" w:fill="FFFFFF"/>
      <w:overflowPunct w:val="false"/>
      <w:spacing w:lineRule="atLeast" w:line="240" w:before="0" w:after="60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Style32" w:customStyle="1">
    <w:name w:val="Таблицы (моноширинный)"/>
    <w:basedOn w:val="Normal"/>
    <w:next w:val="Normal"/>
    <w:qFormat/>
    <w:pPr>
      <w:widowControl w:val="false"/>
      <w:overflowPunct w:val="false"/>
      <w:jc w:val="both"/>
    </w:pPr>
    <w:rPr>
      <w:rFonts w:ascii="Courier New" w:hAnsi="Courier New" w:cs="Courier New"/>
      <w:sz w:val="24"/>
      <w:szCs w:val="24"/>
    </w:rPr>
  </w:style>
  <w:style w:type="paragraph" w:styleId="11" w:customStyle="1">
    <w:name w:val="Заголовок №1"/>
    <w:basedOn w:val="Normal"/>
    <w:qFormat/>
    <w:pPr>
      <w:widowControl w:val="false"/>
      <w:shd w:val="clear" w:color="auto" w:fill="FFFFFF"/>
      <w:spacing w:lineRule="exact" w:line="326" w:before="240" w:after="240"/>
      <w:jc w:val="center"/>
      <w:outlineLvl w:val="0"/>
    </w:pPr>
    <w:rPr>
      <w:b/>
      <w:bCs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hi-IN"/>
    </w:rPr>
  </w:style>
  <w:style w:type="paragraph" w:styleId="Style33" w:customStyle="1">
    <w:name w:val="Табл назв"/>
    <w:basedOn w:val="Caption"/>
    <w:qFormat/>
    <w:pPr>
      <w:keepNext w:val="true"/>
      <w:overflowPunct w:val="fals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Style34" w:customStyle="1">
    <w:name w:val="Табл содер"/>
    <w:basedOn w:val="Style29"/>
    <w:qFormat/>
    <w:pPr>
      <w:spacing w:lineRule="auto" w:line="240" w:before="0" w:after="0"/>
      <w:ind w:hanging="0"/>
    </w:pPr>
    <w:rPr>
      <w:sz w:val="24"/>
      <w:szCs w:val="24"/>
      <w:lang w:eastAsia="ru-RU"/>
    </w:rPr>
  </w:style>
  <w:style w:type="paragraph" w:styleId="Style35" w:customStyle="1">
    <w:name w:val="Табл загол"/>
    <w:basedOn w:val="Style34"/>
    <w:qFormat/>
    <w:pPr>
      <w:jc w:val="center"/>
    </w:pPr>
    <w:rPr>
      <w:b/>
    </w:rPr>
  </w:style>
  <w:style w:type="paragraph" w:styleId="Style36" w:customStyle="1">
    <w:name w:val="Текст в таблице_ШАПКА"/>
    <w:basedOn w:val="Normal"/>
    <w:next w:val="Style19"/>
    <w:qFormat/>
    <w:pPr>
      <w:overflowPunct w:val="false"/>
      <w:jc w:val="center"/>
    </w:pPr>
    <w:rPr>
      <w:b/>
      <w:sz w:val="24"/>
      <w:szCs w:val="24"/>
    </w:rPr>
  </w:style>
  <w:style w:type="paragraph" w:styleId="Style37" w:customStyle="1">
    <w:name w:val="Текст в таблице"/>
    <w:basedOn w:val="Normal"/>
    <w:qFormat/>
    <w:pPr>
      <w:overflowPunct w:val="false"/>
      <w:spacing w:before="240" w:after="0"/>
      <w:ind w:left="33" w:right="34" w:firstLine="1"/>
    </w:pPr>
    <w:rPr>
      <w:sz w:val="24"/>
      <w:szCs w:val="24"/>
    </w:rPr>
  </w:style>
  <w:style w:type="paragraph" w:styleId="Style38" w:customStyle="1">
    <w:name w:val="Текст в таблице_ЦЕНТР"/>
    <w:basedOn w:val="Normal"/>
    <w:qFormat/>
    <w:pPr>
      <w:overflowPunct w:val="false"/>
      <w:jc w:val="center"/>
    </w:pPr>
    <w:rPr>
      <w:sz w:val="24"/>
      <w:szCs w:val="24"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Style39" w:customStyle="1">
    <w:name w:val="ААТАБЛ"/>
    <w:basedOn w:val="Caption"/>
    <w:qFormat/>
    <w:pPr>
      <w:keepNext w:val="true"/>
      <w:overflowPunct w:val="false"/>
      <w:spacing w:before="120" w:after="0"/>
      <w:jc w:val="right"/>
    </w:pPr>
    <w:rPr>
      <w:rFonts w:eastAsia="Calibri" w:eastAsiaTheme="minorHAnsi"/>
      <w:color w:val="auto"/>
      <w:sz w:val="24"/>
      <w:szCs w:val="24"/>
      <w:lang w:eastAsia="en-US"/>
    </w:rPr>
  </w:style>
  <w:style w:type="paragraph" w:styleId="Style40" w:customStyle="1">
    <w:name w:val="ААТЕКВТ"/>
    <w:basedOn w:val="Normal"/>
    <w:qFormat/>
    <w:pPr>
      <w:overflowPunct w:val="false"/>
      <w:spacing w:lineRule="auto" w:line="276"/>
      <w:jc w:val="center"/>
    </w:pPr>
    <w:rPr>
      <w:rFonts w:eastAsia="Calibri" w:eastAsiaTheme="minorHAnsi"/>
      <w:lang w:eastAsia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B066-7590-4237-A035-59DC298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Application>LibreOffice/7.3.6.2$Linux_X86_64 LibreOffice_project/30$Build-2</Application>
  <AppVersion>15.0000</AppVersion>
  <Pages>10</Pages>
  <Words>2507</Words>
  <Characters>18974</Characters>
  <CharactersWithSpaces>21302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2023-01-25T03:32:00Z</dcterms:created>
  <dc:creator/>
  <dc:description/>
  <dc:language>ru-RU</dc:language>
  <cp:lastModifiedBy/>
  <cp:lastPrinted>2023-01-24T16:56:00Z</cp:lastPrinted>
  <dcterms:modified xsi:type="dcterms:W3CDTF">2023-03-27T15:19:44Z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