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ТИПОВАЯ ТЕХНОЛОГИЧЕСКАЯ СХЕМА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предоставления муниципальной услуги «Предоставление информации о порядке предоставления жилищно-коммунальных услуг населению»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3389"/>
        <w:gridCol w:w="5623"/>
      </w:tblGrid>
      <w:tr>
        <w:trPr/>
        <w:tc>
          <w:tcPr>
            <w:tcW w:w="5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389" w:type="dxa"/>
            <w:tcBorders/>
            <w:shd w:color="auto" w:fill="CCFFCC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Параметр</w:t>
            </w:r>
          </w:p>
        </w:tc>
        <w:tc>
          <w:tcPr>
            <w:tcW w:w="562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Значение параметра / состояние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органа, предоставляющего услугу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Администрация Камышловского городского округа</w:t>
            </w:r>
          </w:p>
        </w:tc>
      </w:tr>
      <w:tr>
        <w:trPr>
          <w:trHeight w:val="615" w:hRule="atLeast"/>
        </w:trPr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Номер услуги в федеральном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реестре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66000000100001466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Полное наименование услуги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Краткое наименование услуги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Административный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регламент предоставления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услуги 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7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Административный регламент </w:t>
            </w:r>
          </w:p>
          <w:p>
            <w:pPr>
              <w:pStyle w:val="Normal"/>
              <w:widowControl/>
              <w:tabs>
                <w:tab w:val="clear" w:pos="708"/>
                <w:tab w:val="left" w:pos="178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предоставления муниципальной услуги «Предоставление информации о порядке предоставления жилищно-коммунальных услуг населению» утвержден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остановление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администрации Камышловского городского округа от 18.02.2020 № 105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Перечень «подуслуг»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Подуслуга 1: «Предоставление информации о порядке предоставления жилищно-коммунальных услуг физическим лицам».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Подуслуга2: «Предоставление информации о порядке предоставления жилищно-коммунальных услуг юридическим лицам и индивидуальным предпринимателям».</w:t>
            </w:r>
          </w:p>
        </w:tc>
      </w:tr>
      <w:tr>
        <w:trPr>
          <w:trHeight w:val="81" w:hRule="atLeast"/>
        </w:trPr>
        <w:tc>
          <w:tcPr>
            <w:tcW w:w="559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restart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Способы оценки качества пре-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доставления услуги</w:t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Радиотелефонная связь (смс-опрос,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телефонный опрос)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терминальные устройства в МФЦ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терминальные устройства в органе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власти/органе местного самоуправления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Единый портал государственных услуг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региональный портал государственных услуг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официальный сайт Камышловского городского округа (http://gorod-kamyshlov.ru)</w:t>
            </w:r>
          </w:p>
        </w:tc>
      </w:tr>
      <w:tr>
        <w:trPr>
          <w:trHeight w:val="79" w:hRule="atLeast"/>
        </w:trPr>
        <w:tc>
          <w:tcPr>
            <w:tcW w:w="559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89" w:type="dxa"/>
            <w:vMerge w:val="continue"/>
            <w:tcBorders/>
            <w:shd w:color="auto" w:fill="CCFFCC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2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другие способы (анкетирование)</w:t>
            </w:r>
          </w:p>
        </w:tc>
      </w:tr>
    </w:tbl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2. Общие сведения о «подуслугах»</w:t>
      </w:r>
    </w:p>
    <w:tbl>
      <w:tblPr>
        <w:tblStyle w:val="a4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2"/>
        <w:gridCol w:w="1150"/>
        <w:gridCol w:w="1146"/>
        <w:gridCol w:w="1630"/>
        <w:gridCol w:w="1425"/>
        <w:gridCol w:w="1649"/>
        <w:gridCol w:w="1391"/>
        <w:gridCol w:w="1330"/>
        <w:gridCol w:w="838"/>
        <w:gridCol w:w="2269"/>
        <w:gridCol w:w="1699"/>
      </w:tblGrid>
      <w:tr>
        <w:trPr/>
        <w:tc>
          <w:tcPr>
            <w:tcW w:w="2322" w:type="dxa"/>
            <w:gridSpan w:val="2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 предоставления в зависимости от условий</w:t>
            </w:r>
          </w:p>
        </w:tc>
        <w:tc>
          <w:tcPr>
            <w:tcW w:w="1146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Основания отказа в приеме докумен-тов</w:t>
            </w:r>
          </w:p>
        </w:tc>
        <w:tc>
          <w:tcPr>
            <w:tcW w:w="1630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Основания отказа в предоставле-нии «подуслуги»</w:t>
            </w:r>
          </w:p>
        </w:tc>
        <w:tc>
          <w:tcPr>
            <w:tcW w:w="1425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Основания приостановле-ния предоставления «подуслуги»</w:t>
            </w:r>
          </w:p>
        </w:tc>
        <w:tc>
          <w:tcPr>
            <w:tcW w:w="1649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 приостановле-ния предоставления «подуслуги»</w:t>
            </w:r>
          </w:p>
        </w:tc>
        <w:tc>
          <w:tcPr>
            <w:tcW w:w="3559" w:type="dxa"/>
            <w:gridSpan w:val="3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Плата за предоставление «подуслуги»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обращения за получением «подуслуги»</w:t>
            </w:r>
          </w:p>
        </w:tc>
        <w:tc>
          <w:tcPr>
            <w:tcW w:w="1699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получения результата «подуслуги»</w:t>
            </w:r>
          </w:p>
        </w:tc>
      </w:tr>
      <w:tr>
        <w:trPr/>
        <w:tc>
          <w:tcPr>
            <w:tcW w:w="1172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 подаче заявления по месту житель-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ства (месту нахожде-ния юр. лица)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 подаче заявления не по месту житель-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ства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(по месту обраще-ния)</w:t>
            </w:r>
          </w:p>
        </w:tc>
        <w:tc>
          <w:tcPr>
            <w:tcW w:w="1146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30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425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4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наличие платы (государ-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ственной пошлины)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реквизиты нормативно-го правового акта,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20"/>
                <w:lang w:val="ru-RU" w:eastAsia="en-US" w:bidi="ar-SA"/>
              </w:rPr>
              <w:t xml:space="preserve">являющегося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основанием для взимания платы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(государ-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ственной пошлины)</w:t>
            </w:r>
          </w:p>
        </w:tc>
        <w:tc>
          <w:tcPr>
            <w:tcW w:w="83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КБК для взимания платы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(госу-дарст-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венной пош-лины), в том числе через МФЦ</w:t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99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146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63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83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</w:tr>
      <w:tr>
        <w:trPr/>
        <w:tc>
          <w:tcPr>
            <w:tcW w:w="15699" w:type="dxa"/>
            <w:gridSpan w:val="11"/>
            <w:tcBorders/>
            <w:shd w:color="auto" w:fill="FFFFFF" w:themeFill="background1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Наименование подуслуги№ 1 Предоставление информации о порядке предоставления жилищно-коммунальных услуг физическим лицам, </w:t>
            </w:r>
          </w:p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проживающим на территории Камышловского городского округа».</w:t>
            </w:r>
          </w:p>
        </w:tc>
      </w:tr>
      <w:tr>
        <w:trPr/>
        <w:tc>
          <w:tcPr>
            <w:tcW w:w="1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 рабочих дней со дня поступле-ния заявления и докумен-тов в орган, в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т. ч. через МФЦ</w:t>
            </w:r>
          </w:p>
        </w:tc>
        <w:tc>
          <w:tcPr>
            <w:tcW w:w="115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14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63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2) текст заявления не поддается прочтению (ответ на заявление не дается, оно не подлежит переадресации в орган или соответствую-щему должностному лицу, в компетенцию которого входит предоставление информации по поставленным в заявлении вопросам);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4) в заявлении ставится вопрос о правовой оценке актов, принятых государствен-ным органом, органом местного самоуправления,  проведении анализа деятельности администрации Камышловского городского округа либо подведомст-венных организаций или проведении иной аналитической работы, непосредствен-но не связанной с защитой прав заявителя;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5) запрашивае-мая информация относится к информации ограниченного доступа;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7)если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8) если в указанном обращении содержатся сведения о подготавлива-емом, совершаемом или совершенном противоправ-ном деянии, а также о лице, его подготавлива-ющем, совершающем или совершившем.</w:t>
            </w:r>
          </w:p>
        </w:tc>
        <w:tc>
          <w:tcPr>
            <w:tcW w:w="142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6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391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33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38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 Лично (через представителя) в Администрацию Камышловского городского округа;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Лично (через представителя) в МФЦ;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 Лично (через представителя) на официальный сайт Камышловского городского округа (</w:t>
            </w:r>
            <w:r>
              <w:rPr>
                <w:rStyle w:val="Style15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http://</w:t>
            </w:r>
            <w:r>
              <w:rPr>
                <w:rStyle w:val="Style15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gorod-kamyshlov.ru)</w:t>
            </w:r>
            <w:r>
              <w:rPr>
                <w:rStyle w:val="Style15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 Лично (через представителя) на  электронную почту отдела жилищно-коммунального и городского хозяйства администрации Камышловского городского округа: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kamgo-gkh@mail.ru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 Лично (через представителя) в администрацию Камышловского городского округа через почтовую связь.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 Лично (через представителя) в администрации Камышловского городского округа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 Лично (представителю) через МФЦ на бумажном носителе, полученном из администрации Камышловского городского округа.</w:t>
            </w:r>
          </w:p>
        </w:tc>
      </w:tr>
      <w:tr>
        <w:trPr/>
        <w:tc>
          <w:tcPr>
            <w:tcW w:w="15699" w:type="dxa"/>
            <w:gridSpan w:val="11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Наименование подуслуги №2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 индивидуальным предпринимателям, осуществляющим деятельность на территории Камышловского городского округа»</w:t>
            </w:r>
          </w:p>
        </w:tc>
      </w:tr>
      <w:tr>
        <w:trPr/>
        <w:tc>
          <w:tcPr>
            <w:tcW w:w="1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150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30 дней</w:t>
            </w:r>
          </w:p>
        </w:tc>
        <w:tc>
          <w:tcPr>
            <w:tcW w:w="1146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630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2) текст заявления не поддается прочтению;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4) в заявлении ставится вопрос о правовой оценке актов, принятых государствен-ным органом, органом местного самоуправления, проведении анализа деятельности администрации Камышловского городского округа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5) запрашиваемая информация относится к информации ограниченного доступа;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8) если в указанном обращении содержатся сведения о подготавлива-емом, совершаемом или совершенном противоправ-ном деянии, а также о лице, его подготавлива-ющем, совершающем или совершившем.</w:t>
            </w:r>
          </w:p>
        </w:tc>
        <w:tc>
          <w:tcPr>
            <w:tcW w:w="1425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64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39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33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83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 Лично (через представителя) в администрацию Камышловского городского округа;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Лично (через представителя) в МФЦ;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 Лично (через представителя) на официальный сайт Камышловского городского округа (</w:t>
            </w:r>
            <w:hyperlink r:id="rId2">
              <w:r>
                <w:rPr>
                  <w:rStyle w:val="Style15"/>
                  <w:rFonts w:eastAsia="Calibri" w:cs="Times New Roman" w:ascii="Times New Roman" w:hAnsi="Times New Roman"/>
                  <w:kern w:val="0"/>
                  <w:sz w:val="20"/>
                  <w:szCs w:val="20"/>
                  <w:lang w:val="ru-RU" w:eastAsia="en-US" w:bidi="ar-SA"/>
                </w:rPr>
                <w:t>http://gorod-kamyshlov.ru)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 Лично (через представителя) на  электронную почту отдела жилищно-коммунального и городского хозяйства администрации Камышловского городского округа: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kamgo-gkh@mail.ru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5. Лично (через представителя) в администрацию Камышловского городского округа через почтовую связь.</w:t>
            </w:r>
          </w:p>
        </w:tc>
        <w:tc>
          <w:tcPr>
            <w:tcW w:w="169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 Лично (через представителя) в администрацию Камышловского городского округа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 Лично (представителю) через МФЦ на бумажном носителе, полученном из администрации Камышловского городского округа.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5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2267"/>
        <w:gridCol w:w="1985"/>
        <w:gridCol w:w="2127"/>
        <w:gridCol w:w="2267"/>
        <w:gridCol w:w="1985"/>
        <w:gridCol w:w="1985"/>
        <w:gridCol w:w="2059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Документ, подтверждающий правомочие заявителя соответствующей категории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 получение «подуслуги»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Установленные требования к документу,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подтверждающему правомочие заявителя соответствующей категории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 получение «подуслуги»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документа, подтверждающего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право подачи заявления от имени заявителя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Установления требования к документу,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подтверждающему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право подачи заявления от имени заявителя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15350" w:type="dxa"/>
            <w:gridSpan w:val="8"/>
            <w:tcBorders/>
          </w:tcPr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1. Наименование подуслуги №1 «Предоставление информации о порядке предоставления жилищно-коммунальных услуг физическим лицам, проживающим на территории Камышловского городского округа»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Физические лица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3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lang w:val="ru-RU" w:eastAsia="ru-RU" w:bidi="ar-SA"/>
                </w:rPr>
                <w:t>форме</w:t>
                <w:br/>
                <w:t>№ 2П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;свидетельство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подлинник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есть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Представитель заявителя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Доверенность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(простая или нотариальная форма)</w:t>
            </w:r>
          </w:p>
        </w:tc>
      </w:tr>
      <w:tr>
        <w:trPr/>
        <w:tc>
          <w:tcPr>
            <w:tcW w:w="15350" w:type="dxa"/>
            <w:gridSpan w:val="8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2.    Наименование подуслуги №2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Предоставление информации о порядке предоставления жилищно-коммунальных услуг юридическим лицами индивидуальным предпринимателям, осуществляющим деятельность на территории Камышловского городского округа»</w:t>
            </w:r>
          </w:p>
        </w:tc>
      </w:tr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Юридические лица и индивидуальные предприниматели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4">
              <w:r>
                <w:rPr>
                  <w:rFonts w:eastAsia="Times New Roman" w:cs="Times New Roman" w:ascii="Times New Roman" w:hAnsi="Times New Roman"/>
                  <w:kern w:val="0"/>
                  <w:sz w:val="20"/>
                  <w:szCs w:val="20"/>
                  <w:lang w:val="ru-RU" w:eastAsia="ru-RU" w:bidi="ar-SA"/>
                </w:rPr>
                <w:t>форме</w:t>
                <w:br/>
                <w:t>№ 2П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;свидетельство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подлинник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есть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Представитель заявителя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Доверенность</w:t>
            </w:r>
          </w:p>
        </w:tc>
        <w:tc>
          <w:tcPr>
            <w:tcW w:w="205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(простая или нотариальная форма)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4. Документы, предоставляемые заявителем для получения «подуслуги»</w:t>
      </w:r>
    </w:p>
    <w:tbl>
      <w:tblPr>
        <w:tblStyle w:val="a4"/>
        <w:tblW w:w="15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69"/>
        <w:gridCol w:w="2255"/>
        <w:gridCol w:w="1973"/>
        <w:gridCol w:w="2117"/>
        <w:gridCol w:w="2252"/>
        <w:gridCol w:w="1976"/>
        <w:gridCol w:w="1963"/>
        <w:gridCol w:w="2145"/>
      </w:tblGrid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Категория документа 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Наименования документов, которые предоставляет заявитель для получения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«подуслуги»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Условие предоставления документа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Установленные требования к документу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Форма (шаблон) документа</w:t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Образец документа/заполнения документа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15350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подуслуги № 1 «Предоставление информации о порядке предоставления жилищно-коммунальных услуг физическим лицам,</w:t>
            </w:r>
          </w:p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проживающим на территории Камышловского городского округа»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Обращение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Если обращается представитель заявителя, необходим документ, подтверждающий полномочия.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Заявление на имя заместителя должностного лица администрации Камышловского городского округа, ответственного за предоставление услуги, принимается: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адрес и номер кабинета; или через МФЦ.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Доверенность в простой письменной форме.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304" w:leader="none"/>
                <w:tab w:val="left" w:pos="85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Установление личности заявителя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Установление личности представителя заявителя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Подлинник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предоставляется обязательно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для физического лица: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 w:themeFill="background1"/>
              <w:spacing w:lineRule="auto" w:line="240" w:before="0"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Рекомендуемая форма заявления в приложении № 2.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350" w:type="dxa"/>
            <w:gridSpan w:val="8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Наименование подуслуги № 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 индивидуальным предпринимателям, осуществляющим деятельность на территории Камышловского городского округа»</w:t>
            </w:r>
          </w:p>
        </w:tc>
      </w:tr>
      <w:tr>
        <w:trPr/>
        <w:tc>
          <w:tcPr>
            <w:tcW w:w="66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</w:t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Обращение </w:t>
            </w:r>
          </w:p>
        </w:tc>
        <w:tc>
          <w:tcPr>
            <w:tcW w:w="197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Заявление на имя заместителя должностного лица администрации Камышловского городского округа, ответственного за предоставление услуги, принимается: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адрес и номер кабинета;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или через МФЦ.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567" w:leader="none"/>
                <w:tab w:val="left" w:pos="851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1/0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Установление личности заявителя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Подлинник предоставляется обязательно</w:t>
            </w:r>
          </w:p>
        </w:tc>
        <w:tc>
          <w:tcPr>
            <w:tcW w:w="1976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для юридического лица: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FFFFFF" w:themeFill="background1"/>
              <w:spacing w:lineRule="auto" w:line="240" w:before="0" w:after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Рекомендуемая форма заявления прилагается.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4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 - НЕТ</w:t>
      </w:r>
    </w:p>
    <w:tbl>
      <w:tblPr>
        <w:tblStyle w:val="a4"/>
        <w:tblW w:w="151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65"/>
        <w:gridCol w:w="1500"/>
        <w:gridCol w:w="1765"/>
        <w:gridCol w:w="1729"/>
        <w:gridCol w:w="1729"/>
        <w:gridCol w:w="1342"/>
        <w:gridCol w:w="1765"/>
        <w:gridCol w:w="1765"/>
        <w:gridCol w:w="1764"/>
      </w:tblGrid>
      <w:tr>
        <w:trPr/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Наименование органа (организации),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в адрес которого(ой) направляется межведомственный запрос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en-US" w:eastAsia="en-US" w:bidi="ar-SA"/>
              </w:rPr>
              <w:t>SID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 электронного сервиса/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вида сведений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>
        <w:trPr/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15124" w:type="dxa"/>
            <w:gridSpan w:val="9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«подуслуги» 1</w:t>
            </w:r>
          </w:p>
        </w:tc>
      </w:tr>
      <w:tr>
        <w:trPr/>
        <w:tc>
          <w:tcPr>
            <w:tcW w:w="17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5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7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76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7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  <w:r>
        <w:rPr>
          <w:rFonts w:cs="Times New Roman" w:ascii="Times New Roman" w:hAnsi="Times New Roman"/>
          <w:sz w:val="6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6. Результат «подуслуги»</w:t>
      </w:r>
    </w:p>
    <w:tbl>
      <w:tblPr>
        <w:tblStyle w:val="a4"/>
        <w:tblW w:w="151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5"/>
        <w:gridCol w:w="2257"/>
        <w:gridCol w:w="2255"/>
        <w:gridCol w:w="1705"/>
        <w:gridCol w:w="2223"/>
        <w:gridCol w:w="2224"/>
        <w:gridCol w:w="1647"/>
        <w:gridCol w:w="1210"/>
        <w:gridCol w:w="1118"/>
      </w:tblGrid>
      <w:tr>
        <w:trPr>
          <w:trHeight w:val="637" w:hRule="atLeast"/>
        </w:trPr>
        <w:tc>
          <w:tcPr>
            <w:tcW w:w="485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п/п</w:t>
            </w:r>
          </w:p>
        </w:tc>
        <w:tc>
          <w:tcPr>
            <w:tcW w:w="2257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Документ/документы, являющийся(иеся) результатом «подуслуги»</w:t>
            </w:r>
          </w:p>
        </w:tc>
        <w:tc>
          <w:tcPr>
            <w:tcW w:w="2255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Требования к документу/документам,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являющемуся(ихся) результатом «подуслуги»</w:t>
            </w:r>
          </w:p>
        </w:tc>
        <w:tc>
          <w:tcPr>
            <w:tcW w:w="1705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Характеристика результата «подуслуги» (положительный/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отрицательный)</w:t>
            </w:r>
          </w:p>
        </w:tc>
        <w:tc>
          <w:tcPr>
            <w:tcW w:w="2223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224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647" w:type="dxa"/>
            <w:vMerge w:val="restart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Способы получения результата «подуслуги»</w:t>
            </w:r>
          </w:p>
        </w:tc>
        <w:tc>
          <w:tcPr>
            <w:tcW w:w="2328" w:type="dxa"/>
            <w:gridSpan w:val="2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 хранения невостребованных заявителем результатов «подуслуги»</w:t>
            </w:r>
          </w:p>
        </w:tc>
      </w:tr>
      <w:tr>
        <w:trPr>
          <w:trHeight w:val="147" w:hRule="atLeast"/>
        </w:trPr>
        <w:tc>
          <w:tcPr>
            <w:tcW w:w="485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7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5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705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24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647" w:type="dxa"/>
            <w:vMerge w:val="continue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органе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МФЦ</w:t>
            </w:r>
          </w:p>
        </w:tc>
      </w:tr>
      <w:tr>
        <w:trPr>
          <w:trHeight w:val="147" w:hRule="atLeast"/>
        </w:trPr>
        <w:tc>
          <w:tcPr>
            <w:tcW w:w="4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</w:tr>
      <w:tr>
        <w:trPr>
          <w:trHeight w:val="147" w:hRule="atLeast"/>
        </w:trPr>
        <w:tc>
          <w:tcPr>
            <w:tcW w:w="15124" w:type="dxa"/>
            <w:gridSpan w:val="9"/>
            <w:tcBorders/>
          </w:tcPr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Камышловского городского округа».</w:t>
            </w:r>
          </w:p>
        </w:tc>
      </w:tr>
      <w:tr>
        <w:trPr>
          <w:trHeight w:val="147" w:hRule="atLeast"/>
        </w:trPr>
        <w:tc>
          <w:tcPr>
            <w:tcW w:w="4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Результатом административной процедуры является выдача (направление)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left"/>
              <w:rPr>
                <w:rFonts w:eastAsia="Times New Roman CYR"/>
                <w:color w:val="000000"/>
                <w:sz w:val="28"/>
                <w:szCs w:val="28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МФЦ производится только выдача результата, а направление по почтовом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у 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адресу не осуществляется.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181" w:leader="none"/>
              </w:tabs>
              <w:spacing w:lineRule="auto" w:line="240" w:before="0" w:after="0"/>
              <w:ind w:right="20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16"/>
                <w:szCs w:val="16"/>
                <w:lang w:val="ru-RU" w:eastAsia="en-US" w:bidi="ar-SA"/>
              </w:rPr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</w:tabs>
              <w:spacing w:lineRule="auto" w:line="240" w:before="0" w:after="0"/>
              <w:ind w:right="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176" w:leader="none"/>
              </w:tabs>
              <w:spacing w:lineRule="auto" w:line="240" w:before="0" w:after="0"/>
              <w:ind w:left="30" w:right="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если просьба, изложенная в заявлении, не решается положительно, то указывается причина, по которой она не удовлетворена;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272" w:leader="none"/>
              </w:tabs>
              <w:spacing w:lineRule="auto" w:line="240" w:before="0" w:after="0"/>
              <w:ind w:left="30" w:right="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123" w:leader="none"/>
              </w:tabs>
              <w:spacing w:lineRule="auto" w:line="240" w:before="0" w:after="0"/>
              <w:ind w:right="20" w:hang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181" w:leader="none"/>
              </w:tabs>
              <w:spacing w:lineRule="auto" w:line="240" w:before="0" w:after="0"/>
              <w:ind w:left="30" w:right="2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положительный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 Лично (через представителя) в администрацию Камышловского городского округа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 Лично (представителю) через МФЦ на бумажном носителе, полученном из администрации Камышловского городского округа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течение 3-х месяцев со дня их получения МФЦ.</w:t>
            </w:r>
          </w:p>
        </w:tc>
      </w:tr>
      <w:tr>
        <w:trPr>
          <w:trHeight w:val="147" w:hRule="atLeast"/>
        </w:trPr>
        <w:tc>
          <w:tcPr>
            <w:tcW w:w="4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Уведомлениеоб обоснованном отказе в предоставлении муниципальной услуги</w:t>
            </w:r>
          </w:p>
        </w:tc>
        <w:tc>
          <w:tcPr>
            <w:tcW w:w="2255" w:type="dxa"/>
            <w:tcBorders/>
          </w:tcPr>
          <w:p>
            <w:pPr>
              <w:pStyle w:val="ConsPlusNonformat"/>
              <w:widowControl/>
              <w:shd w:val="clear" w:color="auto" w:fill="FFFFFF" w:themeFill="background1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0"/>
                <w:lang w:val="ru-RU" w:bidi="ar-SA"/>
              </w:rPr>
              <w:t>письменное уведомление об обоснованном отказе в предоставлении муниципальной услуги</w:t>
            </w:r>
            <w:r>
              <w:rPr>
                <w:rStyle w:val="Style14"/>
                <w:b w:val="false"/>
                <w:kern w:val="0"/>
                <w:sz w:val="20"/>
                <w:szCs w:val="20"/>
                <w:lang w:val="ru-RU" w:bidi="ar-SA"/>
              </w:rPr>
              <w:t xml:space="preserve"> в обязательном порядке согласуется с юридической службой администрации Камышловского городского округа, а также с другими структурными подразделениями администрации Камышловского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отрицательный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1. Лично (через представителя) в администрацию Камышловского городского округа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Лично (представителю) через почтовое отправление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 Лично (представителю) через МФЦ на бумажном носителе, полученном из администрации Камышловского городского округа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течение 3-х месяцев со дня их получения МФЦ.</w:t>
            </w:r>
          </w:p>
        </w:tc>
      </w:tr>
      <w:tr>
        <w:trPr>
          <w:trHeight w:val="147" w:hRule="atLeast"/>
        </w:trPr>
        <w:tc>
          <w:tcPr>
            <w:tcW w:w="15124" w:type="dxa"/>
            <w:gridSpan w:val="9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Наименование подуслуги № 2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и индивидуальным предпринимателям, осуществляющим деятельность на территории Камышловского городского округа»</w:t>
            </w:r>
          </w:p>
        </w:tc>
      </w:tr>
      <w:tr>
        <w:trPr>
          <w:trHeight w:val="147" w:hRule="atLeast"/>
        </w:trPr>
        <w:tc>
          <w:tcPr>
            <w:tcW w:w="4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Результатом административной процедуры является выдача (направление)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left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МФЦ производится только выдача результата, а направление по почтовом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у 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адресу не осуществляется.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</w:tabs>
              <w:spacing w:lineRule="auto" w:line="240" w:before="0" w:after="0"/>
              <w:ind w:right="2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176" w:leader="none"/>
              </w:tabs>
              <w:spacing w:lineRule="auto" w:line="240" w:before="0" w:after="0"/>
              <w:ind w:left="30" w:right="2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если просьба, изложенная в заявлении, не решается положительно, то указывается причина, по которой она не удовлетворена;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272" w:leader="none"/>
              </w:tabs>
              <w:spacing w:lineRule="auto" w:line="240" w:before="0" w:after="0"/>
              <w:ind w:left="30" w:right="2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-142" w:leader="none"/>
                <w:tab w:val="left" w:pos="993" w:leader="none"/>
                <w:tab w:val="left" w:pos="1123" w:leader="none"/>
              </w:tabs>
              <w:spacing w:lineRule="auto" w:line="240" w:before="0" w:after="0"/>
              <w:ind w:right="20" w:hanging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положительный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1. Курьером на территории Камышловского городского округа с отметкой в журнале о получении.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Через почтовое отправление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3.Через МФЦ на бумажном носителе, полученном из администрации Камышловского городского округа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течение 3-х месяцев со дня их получения МФЦ.</w:t>
            </w:r>
          </w:p>
        </w:tc>
      </w:tr>
      <w:tr>
        <w:trPr>
          <w:trHeight w:val="147" w:hRule="atLeast"/>
        </w:trPr>
        <w:tc>
          <w:tcPr>
            <w:tcW w:w="48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уведомление об обоснованном отказе в предоставлении муниципальной услуги</w:t>
            </w:r>
          </w:p>
        </w:tc>
        <w:tc>
          <w:tcPr>
            <w:tcW w:w="2255" w:type="dxa"/>
            <w:tcBorders/>
          </w:tcPr>
          <w:p>
            <w:pPr>
              <w:pStyle w:val="ConsPlusNonformat"/>
              <w:widowControl/>
              <w:shd w:val="clear" w:color="auto" w:fill="FFFFFF" w:themeFill="background1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0"/>
                <w:lang w:val="ru-RU" w:bidi="ar-SA"/>
              </w:rPr>
              <w:t>письменное уведомление об обоснованном отказе в предоставлении муниципальной услуги</w:t>
            </w:r>
            <w:r>
              <w:rPr>
                <w:rStyle w:val="Style14"/>
                <w:b w:val="false"/>
                <w:kern w:val="0"/>
                <w:sz w:val="20"/>
                <w:szCs w:val="20"/>
                <w:lang w:val="ru-RU" w:bidi="ar-SA"/>
              </w:rPr>
              <w:t xml:space="preserve"> в обязательном порядке согласуется с юридической службой администрации Камышловского городского округа, а также с другими структурными подразделениями администрации Камышловского городского округа,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отрицательный</w:t>
            </w:r>
          </w:p>
        </w:tc>
        <w:tc>
          <w:tcPr>
            <w:tcW w:w="2223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2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164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1. Курьером на территории округа с отметкой в журнале о получении.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2. Через почтовое отправление на бумажном носителе;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3.Через МФЦ на бумажном носителе, полученном из администрации Камышловского городского округа;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4. По электронной почте заявителя - юридического лица.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11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 течение 3-х месяцев со дня их получения МФЦ.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7. Технологические процессы предоставления «подуслуги» (БЛОК- схема приложение № 1)</w:t>
      </w:r>
    </w:p>
    <w:tbl>
      <w:tblPr>
        <w:tblStyle w:val="a4"/>
        <w:tblW w:w="152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5"/>
        <w:gridCol w:w="3014"/>
        <w:gridCol w:w="2965"/>
        <w:gridCol w:w="2164"/>
        <w:gridCol w:w="2165"/>
        <w:gridCol w:w="2461"/>
        <w:gridCol w:w="1948"/>
      </w:tblGrid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пп</w:t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Наименование процедуры процесса</w:t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Особенности исполнения процедуры процесса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Сроки исполнения процедура (процесса)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Исполнитель процедуры процесса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Формы документов, необходимые для выполнения процедуры процесса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Камышловского городского округа»</w:t>
            </w:r>
          </w:p>
        </w:tc>
      </w:tr>
      <w:tr>
        <w:trPr>
          <w:trHeight w:val="249" w:hRule="atLeast"/>
        </w:trPr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1) основанием для начала административной процедуры является запрос физического лица в подразделение администрации Камышловского городского округа или в МФЦ в целях получения необходимой информации о получении муниципальной услуги;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день обращения в среднем 15 минут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Информация предоставляется специалистами (указать подразделение).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Информирование</w:t>
            </w: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Телефон/факс (8-34375) 2-34-40;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Официальный сайт Камышловского городского округа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</w:t>
            </w:r>
            <w:r>
              <w:rPr>
                <w:rStyle w:val="Style15"/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http://gorod-kamyshlov.ru/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kamgo-gkh@mail.ru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)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Информационные папки в местах предоставления услуги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доступ к информационным и справочно-правовым системам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>Информацию заявитель может получить в МФЦ;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5">
              <w:r>
                <w:rPr>
                  <w:rStyle w:val="Style15"/>
                  <w:rFonts w:eastAsia="ヒラギノ角ゴ Pro W3" w:cs="Times New Roman" w:ascii="Times New Roman" w:hAnsi="Times New Roman"/>
                  <w:kern w:val="2"/>
                  <w:sz w:val="20"/>
                  <w:szCs w:val="20"/>
                  <w:lang w:val="ru-RU" w:eastAsia="en-US" w:bidi="hi-IN"/>
                </w:rPr>
                <w:t>http://www.mfc66.ru/</w:t>
              </w:r>
            </w:hyperlink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)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Приложения № 1,2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2) прием заявления и документов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прием заявления и документов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1) основанием для начала административной процедуры является поступление заявления в подразделение администрации Камышловского городского округа или в МФЦ;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ar-SA" w:bidi="ar-SA"/>
              </w:rPr>
              <w:t xml:space="preserve">, обосновывающий выдачу заверенной копии постановления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ar-SA" w:bidi="ar-SA"/>
              </w:rPr>
              <w:t>(распоряжения) главы Камышловского городского округа (при необходимости);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принимается заявление и прилагаемые к нему документы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день поступления в среднем 15 минут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прием заявления и документов от физических лиц осуществляется специалистами (указать наименование подразделения и номер кабинета), в</w:t>
            </w: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Компьютер,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Сканер,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копир;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принтер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3) регистрация заявления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3) регистрация заявления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должностному лицу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администрации Камышловского городского округа, ответственного за предоставление услуги, которое рассматривает полученное обращение и с поручением, указанием (резолюцией) и передает его в подразделение в течение 3-х рабочих дней.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708"/>
                <w:tab w:val="left" w:pos="-70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Результатом процедуры является передача заявления и документов для исполнения в подразделение администрации Камышловского городского округа.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процедуру,составляет в среднем 15 минут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Документы, принятые МФЦ, не позднее следующего рабочего дня после приема и регистрации передаются в администрацию Камышловского городского округа.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Компьютер;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4) рассмотрение заявления и документов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4) рассмотрение заявления и документов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708"/>
                <w:tab w:val="left" w:pos="-70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является поступление заявления с поручением, указанием (резолюцией) должностного лица администрации Камышловского городского округа, ответственного за предоставление услуги, и пакета документов для исполнения в подразделение,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ответственного за предоставление услуги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  <w:tcBorders/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708"/>
                <w:tab w:val="left" w:pos="-709" w:leader="none"/>
              </w:tabs>
              <w:spacing w:lineRule="auto" w:line="240" w:before="0" w:after="0"/>
              <w:ind w:hanging="15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Специалист подразделения, ответственного за предоставление услуги, рассматривает заявление.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hanging="15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процессе рассмотрения заявления по существу данный специалист  при реализации административной процедуры: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hanging="15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1)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hanging="15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2) инициирует, в случае необходимости, проведение проверки, в том числе с выездом на место;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3)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готовит проект письменного ответа по существу поставленных в заявлении вопросов, визирует контрольный экземпляр;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4)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готовит уведомление заявителю о направлении его заявления на рассмотрение в другой государственный орган, орган местного самоуправления, организации или иному должностному лицу в соответствии с их компетенцией;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5)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готовит уведомление об оставлении заявления без ответа по существу поставленных в нем вопросов по основаниям, предусмотренным п.12 Регламента;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6)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готовит уведомление о прекращении переписки с гражданином.</w:t>
            </w:r>
          </w:p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tabs>
                <w:tab w:val="clear" w:pos="708"/>
                <w:tab w:val="left" w:pos="-709" w:leader="none"/>
              </w:tabs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 результатам рассмотрения заявления специалистом готовится проект ответа и передается на подпись должностному лицу  администрации Камышловского городского округа, ответственному за предоставление услуги, не позднее чем за 3 дня до наступление срока ответа.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5) анализ заявления и документов и принятие решения об ответе по существу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Камышловского городского округа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en-US" w:bidi="ar-SA"/>
              </w:rPr>
              <w:t xml:space="preserve">6) подготовка по результатам рассмотрения обращений сопроводительного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20"/>
                <w:szCs w:val="20"/>
                <w:lang w:val="ru-RU" w:eastAsia="en-US" w:bidi="ar-SA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18"/>
                <w:szCs w:val="18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) подготовка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заверенных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 копий постановлений (распоряжений) Главы Камышловского городского округа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Для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оставления заявления в письменной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Камышловского городского округа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5) запрашиваемая информация относится к информации ограниченного доступа;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018" w:leader="none"/>
              </w:tabs>
              <w:spacing w:lineRule="auto" w:line="240" w:before="0" w:after="0"/>
              <w:ind w:righ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 Камышловского городского округа. 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</w:t>
            </w:r>
            <w:r>
              <w:rPr>
                <w:rStyle w:val="1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ремя, затраченное на данную административную процедуру (на сопроводительное письмо либо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 письменного уведомления об обоснованном отказе в предоставлении муниципальной услуги</w:t>
            </w:r>
            <w:r>
              <w:rPr>
                <w:rStyle w:val="1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>
              <w:rPr>
                <w:rStyle w:val="1"/>
                <w:rFonts w:eastAsia="Calibri" w:cs="Times New Roman" w:ascii="Times New Roman" w:hAnsi="Times New Roman"/>
                <w:b w:val="false"/>
                <w:bCs w:val="false"/>
                <w:kern w:val="0"/>
                <w:sz w:val="20"/>
                <w:szCs w:val="20"/>
                <w:lang w:val="ru-RU" w:eastAsia="en-US" w:bidi="ar-SA"/>
              </w:rPr>
              <w:t xml:space="preserve"> специалистом подразделения, ответственного за предоставление услуги.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Оригинал документа,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Компьютер,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Принтер,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Копир,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Наличие ящика электронной почты;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Электронная база исходящей корреспонденции;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Конверт;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Марки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 xml:space="preserve">8) направление ответа заявителю 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8) выдача ответа заявителю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166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является наличие подготовленного ответа заявителю, подписанного должностным лицом  администрации Камышловского городского округа, ответственным за предоставление услуги.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166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Поступивший в к</w:t>
            </w:r>
            <w:r>
              <w:rPr>
                <w:rFonts w:eastAsia="ヒラギノ角ゴ Pro W3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онтрольно-организационноеподразделение Администрации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ответ заявителю </w:t>
            </w:r>
            <w:r>
              <w:rPr>
                <w:rFonts w:eastAsia="ヒラギノ角ゴ Pro W3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регистрируется в журнале исходящей информации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080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080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Ответ на заявление, поступившее в администрацию Камышловского городского округа   или должностному лицу администрации Камышловского городского округа в форме электронного документа, направляется в форме электронного документа по адресу электронной почты, указанному в заявлении: для физических лиц – (указать подразделение администрации Камышловского городского округа и номер кабинета), для юридических лиц - исполнителем ответа.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181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Ответ на заявление направляется гражданину в срок не более 1 дня с момента подписания, не позднее 30 дней с даты регистрации заявления в администрации Камышловского городского округа, за исключением случаев, установленных действующим законодательством.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Результатом административной процедуры является выдача (направление)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МФЦ производится только выдача результата, а направление по почтовом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у 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адресу не осуществляется.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среднем 10 минут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Администрация Камышловского городского округа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Контрольно-организационное подразделение администрации Камышловского городского округа 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Электронная база исходящей корреспонденции;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Конверт;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Марки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ListParagraph"/>
              <w:widowControl/>
              <w:shd w:val="clear" w:color="auto" w:fill="FFFFFF" w:themeFill="background1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2.    Наименование подуслуги № 2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Предоставление информации о порядке предоставления жилищно-коммунальных услуг юридическим лицами индивидуальным предпринимателям, осуществляющим деятельность на территории Камышловского городского округа»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1) основанием для начала административной процедуры является запрос юридического лица или индивидуального предпринимателя в подразделение администрации Камышловского городского округа или в МФЦ в целях получения необходимой информации о получении муниципальной услуги;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Информация предоставляется специалистами отдела жилищно-коммунального и городского хозяйства администрации Камышловского городского округа.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Информирование</w:t>
            </w: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Телефон/факс (8-34375) 2-34-40;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Официальный сайт Камышловского городского округа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(http://gorod-kamyshlov.ru);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Электронная почта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kamgo-gkh@mail.ru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)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Информационные папки в местах предоставления услуги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доступ к информационным и справочно-правовым системам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>Информацию заявитель может получить в МФЦ;</w:t>
            </w:r>
          </w:p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Arial Unicode MS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2) прием заявления и документов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прием заявления и документов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1) основанием для начала административной процедуры является поступление заявления в подразделение администрации Камышловского городского округа или в МФЦ;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ar-SA" w:bidi="ar-SA"/>
              </w:rPr>
              <w:t xml:space="preserve">, обосновывающий выдачу заверенной копии постановления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eastAsia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ar-SA" w:bidi="ar-SA"/>
              </w:rPr>
              <w:t>(распоряжения) Главы Камышловского городского округа (при необходимости);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принимается заявление и прилагаемые к нему документы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день поступления в среднем 10 минут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прием заявления и документов от юридических лиц и индивидуальных предпринимателей осуществляется специалистом подразделения администрации Камышловского городского округа (указать название подразделения и номер кабинета), в</w:t>
            </w: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Компьютер,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Сканер,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копир;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принтер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3) регистрация заявления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3) регистрация заявления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1) основанием для начала административной процедуры является поступившее в подразделение администрации Камышловского городского округа или в МФЦ заявление и прилагаемые к нему документы;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2) поступившие в подразделение администрации Камышловского городского округа или в МФЦ заявления регистрируются не позднее дня, следующего за днем поступления заявления в подразделение администрации Камышловского городского округа или в МФЦ, в установленном порядке и передаются должностному лицу администрации Камышловского городского округа, ответственному за предоставление услуги, для рассмотрения  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>
              <w:rPr>
                <w:rFonts w:eastAsia="Arial Unicode MS" w:cs="Times New Roman" w:ascii="Times New Roman" w:hAnsi="Times New Roman"/>
                <w:kern w:val="2"/>
                <w:sz w:val="20"/>
                <w:szCs w:val="20"/>
                <w:lang w:val="ru-RU"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Документы, принятые МФЦ, не позднее следующего рабочего дня после приема и регистрации передаются в администрацию Камышловского городского округа.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Компьютер;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4) рассмотрение заявления и документов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4) рассмотрение заявления и документов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2) зарегистрированные заявления рассматриваются в течение 3 дней с момента их регистрации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рассмотрение заявления и документов осуществляется должностным лицом администрации Камышловского городского округа, ответственным за предоставление услуги.</w:t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5) анализ заявления и документов и принятие решения о возможности (невозможности) предоставления ответа заявителю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Камышловского городского округа</w:t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6) подготовка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18"/>
                <w:szCs w:val="18"/>
                <w:lang w:val="ru-RU" w:eastAsia="en-US" w:bidi="ar-SA"/>
              </w:rPr>
              <w:t>заверенных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 xml:space="preserve"> копий постановлений (распоряжений) главы Камышловского городского округа и сопроводительного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b/>
                <w:b/>
                <w:i/>
                <w:i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kern w:val="0"/>
                <w:sz w:val="18"/>
                <w:szCs w:val="18"/>
                <w:lang w:val="ru-RU" w:eastAsia="en-US" w:bidi="ar-SA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6) подготовка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заверенных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0"/>
                <w:szCs w:val="20"/>
                <w:lang w:val="ru-RU" w:eastAsia="en-US" w:bidi="ar-SA"/>
              </w:rPr>
              <w:t xml:space="preserve"> копий постановлений (распоряжений) главы Камышловского городского округа и сопроводительного письма либо письменного уведомления об обоснованном отказе в предоставлении муниципальной услуги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Для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оставления заявления в письменной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Камышловского городского округа 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5) запрашиваемая информация относится к информации ограниченного доступа;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018" w:leader="none"/>
              </w:tabs>
              <w:spacing w:lineRule="auto" w:line="240" w:before="0" w:after="0"/>
              <w:ind w:right="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 Камышловского городского округа.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  <w:tr>
        <w:trPr/>
        <w:tc>
          <w:tcPr>
            <w:tcW w:w="15242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0"/>
                <w:szCs w:val="20"/>
                <w:lang w:val="ru-RU" w:eastAsia="en-US" w:bidi="ar-SA"/>
              </w:rPr>
              <w:t>8) выдача заверенных копий постановлений (распоряжений) главы Камышловского городского округа</w:t>
            </w:r>
          </w:p>
        </w:tc>
      </w:tr>
      <w:tr>
        <w:trPr/>
        <w:tc>
          <w:tcPr>
            <w:tcW w:w="52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301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8) выдача ответа заявителю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965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166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Основанием для начала административной процедуры является наличие подготовленного ответа заявителю, подписанного должностным лицом администрации Камышловского городского округа, ответственным за предоставление услуги.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166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Поступивший в к</w:t>
            </w:r>
            <w:r>
              <w:rPr>
                <w:rFonts w:eastAsia="ヒラギノ角ゴ Pro W3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онтрольно-организационное подразделение администрации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 Камышловского городского округа ответ заявителю </w:t>
            </w:r>
            <w:r>
              <w:rPr>
                <w:rFonts w:eastAsia="ヒラギノ角ゴ Pro W3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регистрируется в журнале исходящей информации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080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080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Ответ на заявление, поступившее в администрацию  Камышловского городского округа или должностному лицу  администрации Камышловского городского округа в форме электронного документа, направляется в форме электронного документа по адресу электронной почты, указанному в заявлении: для юридических лиц и индивидуальных предпринимателей - исполнителем ответа.</w:t>
            </w:r>
          </w:p>
          <w:p>
            <w:pPr>
              <w:pStyle w:val="Normal"/>
              <w:widowControl w:val="false"/>
              <w:shd w:val="clear" w:color="auto" w:fill="FFFFFF" w:themeFill="background1"/>
              <w:tabs>
                <w:tab w:val="clear" w:pos="708"/>
                <w:tab w:val="left" w:pos="-709" w:leader="none"/>
                <w:tab w:val="left" w:pos="1181" w:leader="none"/>
              </w:tabs>
              <w:spacing w:lineRule="auto" w:line="240" w:before="0" w:after="0"/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Ответ на заявление направляется в срок не более 1 дня с момента подписания, не позднее 30 дней с даты регистрации заявления в Администрации, за исключением случаев, установленных действующим законодательством.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>Результатом административной процедуры является выдача (направление)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В МФЦ производится только выдача результата, а направление по почтовом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shd w:fill="FFFFFF" w:val="clear"/>
                <w:lang w:val="ru-RU" w:eastAsia="en-US" w:bidi="ar-SA"/>
              </w:rPr>
              <w:t xml:space="preserve">у </w:t>
            </w:r>
            <w:r>
              <w:rPr>
                <w:rFonts w:eastAsia="Times New Roman CYR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адресу не осуществляется.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Style w:val="Style14"/>
                <w:rFonts w:eastAsia="Calibri" w:cs="" w:eastAsiaTheme="minorHAnsi"/>
                <w:b w:val="false"/>
                <w:kern w:val="0"/>
                <w:sz w:val="20"/>
                <w:szCs w:val="20"/>
                <w:lang w:val="ru-RU" w:eastAsia="en-US" w:bidi="ar-SA"/>
              </w:rPr>
              <w:t>время, затраченное на данную административную процедуру, составляет в среднем 10 минут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b w:val="false"/>
                <w:b w:val="false"/>
                <w:sz w:val="20"/>
                <w:szCs w:val="20"/>
              </w:rPr>
            </w:pPr>
            <w:r>
              <w:rPr>
                <w:rFonts w:eastAsia="Calibri" w:eastAsiaTheme="minorHAnsi"/>
                <w:b w:val="false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Calibri" w:eastAsiaTheme="minorHAnsi"/>
                <w:sz w:val="20"/>
                <w:szCs w:val="20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Style w:val="Style14"/>
                <w:rFonts w:eastAsia="Calibri" w:eastAsiaTheme="minorHAnsi"/>
                <w:sz w:val="20"/>
                <w:szCs w:val="20"/>
              </w:rPr>
            </w:pPr>
            <w:r>
              <w:rPr>
                <w:rFonts w:eastAsia="ヒラギノ角ゴ Pro W3" w:cs="Times New Roman" w:ascii="Times New Roman" w:hAnsi="Times New Roman"/>
                <w:kern w:val="2"/>
                <w:sz w:val="20"/>
                <w:szCs w:val="20"/>
                <w:lang w:val="ru-RU" w:eastAsia="en-US" w:bidi="hi-IN"/>
              </w:rPr>
              <w:t>Администрация Камышловского городского окурга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6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267"/>
              <w:jc w:val="both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ind w:firstLine="267"/>
              <w:jc w:val="both"/>
              <w:rPr>
                <w:rFonts w:ascii="Times New Roman" w:hAnsi="Times New Roman" w:eastAsia="ヒラギノ角ゴ Pro W3" w:cs="Times New Roman"/>
                <w:color w:val="000000"/>
                <w:sz w:val="20"/>
                <w:szCs w:val="20"/>
              </w:rPr>
            </w:pPr>
            <w:r>
              <w:rPr>
                <w:rFonts w:eastAsia="ヒラギノ角ゴ Pro W3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Контрольно-организационное подразделение администрации Камышловского городского округа осуществляет передачу в МФЦ результат предоставления муниципальной услуги, не позднеерабочегодня, следующего за оформлением результата предоставления муниципальной услуги курьером.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2461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Электронная база исходящей корреспонденции;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Конверт;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Марки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194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8. Особенности предоставления «подуслуги» в электронной форме»</w:t>
      </w:r>
    </w:p>
    <w:tbl>
      <w:tblPr>
        <w:tblStyle w:val="a4"/>
        <w:tblW w:w="153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155"/>
        <w:gridCol w:w="2157"/>
        <w:gridCol w:w="2168"/>
        <w:gridCol w:w="2172"/>
        <w:gridCol w:w="2268"/>
        <w:gridCol w:w="2164"/>
      </w:tblGrid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55" w:type="dxa"/>
            <w:tcBorders/>
            <w:shd w:color="auto" w:fill="auto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Способ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формирования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запроса о предоставлении «подуслуги»</w:t>
            </w:r>
          </w:p>
        </w:tc>
        <w:tc>
          <w:tcPr>
            <w:tcW w:w="21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предоставления «подуслуги»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21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5351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1. Наименование подуслуги № 1 «Предоставление информации о порядке предоставления жилищно-коммунальных услуг физическим лицам, проживающим на территории Камышловского городского округа».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Всю указанную информацию заявитель может получить посредством официального сайта Камышловского городского округа в информационно-телекоммуникационной сети «Интернет» (далее – сеть «Интернет»): http://gorod-kamyshlov.ru/;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электронной почте: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).</w:t>
            </w:r>
          </w:p>
        </w:tc>
        <w:tc>
          <w:tcPr>
            <w:tcW w:w="2155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МФЦ: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1.Официальный сайт: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mfc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66.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ru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2.Через электронный терминал в офисах МФЦ.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5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1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Всю указанную информацию заявитель может получить посредством официального сайта Камышловского городского округа в информационно-телекоммуникационной сети «Интернет» (далее – сеть «Интернет»): http://gorod-kamyshlov.ru/;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электронной почте: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).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Официальный сайт Камышловского городского округа http://gorod-kamyshlov.ru/;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электронной почте: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bookmarkStart w:id="0" w:name="_GoBack"/>
            <w:bookmarkEnd w:id="0"/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</w:tr>
      <w:tr>
        <w:trPr/>
        <w:tc>
          <w:tcPr>
            <w:tcW w:w="15351" w:type="dxa"/>
            <w:gridSpan w:val="7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 xml:space="preserve">2.    Наименование подуслуги № 2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Предоставление информации о порядке предоставления жилищно-коммунальных услуг юридическим лицами индивидуальным предпринимателям, осуществляющим деятельность на территории Камышловского городского округа»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Всю указанную информацию заявитель может получить посредством официального сайта Камышловского городского округа в информационно-телекоммуникационной сети «Интернет» (далее – сеть «Интернет»): http://gorod-kamyshlov.ru/;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электронной почте: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215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МФЦ: 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 xml:space="preserve">1.Официальный сайт: 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mfc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66.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en-US" w:eastAsia="ru-RU" w:bidi="ar-SA"/>
              </w:rPr>
              <w:t>ru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Autospacing="1" w:afterAutospacing="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2.Через электронный терминал в офисах МФЦ.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2157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нет</w:t>
            </w:r>
          </w:p>
        </w:tc>
        <w:tc>
          <w:tcPr>
            <w:tcW w:w="21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требуется предоставление заявителем документов на бумажном носителе непосредственно при получении результата «подуслуги»</w:t>
            </w:r>
          </w:p>
        </w:tc>
        <w:tc>
          <w:tcPr>
            <w:tcW w:w="2172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-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Всю указанную информацию заявитель может получить посредством официального сайта Камышловского городского округа в информационно-телекоммуникационной сети «Интернет» (далее – сеть «Интернет»): http://gorod-kamyshlov.ru/;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электронной почте: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</w:tc>
        <w:tc>
          <w:tcPr>
            <w:tcW w:w="2164" w:type="dxa"/>
            <w:tcBorders/>
          </w:tcPr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Официальный сайт Камышловского городского округа http://gorod-kamyshlov.ru/;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электронной почте: (</w:t>
            </w:r>
            <w:r>
              <w:rPr>
                <w:rStyle w:val="Xphmenubutton"/>
                <w:rFonts w:eastAsia="Calibri" w:cs="Times New Roman" w:ascii="Times New Roman" w:hAnsi="Times New Roman"/>
                <w:iCs/>
                <w:kern w:val="0"/>
                <w:sz w:val="20"/>
                <w:szCs w:val="20"/>
                <w:lang w:val="ru-RU" w:eastAsia="en-US" w:bidi="ar-SA"/>
              </w:rPr>
              <w:t>kamgo@mail.ru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)</w:t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>
      <w:pPr>
        <w:pStyle w:val="Normal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sectPr>
          <w:headerReference w:type="default" r:id="rId6"/>
          <w:type w:val="nextPage"/>
          <w:pgSz w:orient="landscape" w:w="16838" w:h="11906"/>
          <w:pgMar w:left="851" w:right="851" w:gutter="0" w:header="709" w:top="851" w:footer="0" w:bottom="851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1</w:t>
      </w:r>
    </w:p>
    <w:p>
      <w:pPr>
        <w:pStyle w:val="Normal"/>
        <w:shd w:val="clear" w:color="auto" w:fill="FFFFFF" w:themeFill="background1"/>
        <w:spacing w:lineRule="auto" w:line="240" w:before="0" w:after="0"/>
        <w:ind w:left="4248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БЛОК-СХЕМА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предоставления муниципальной услуги «Предоставление информации о порядке предоставления жилищно-коммунальных услуг населению Камышловского городского округа»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1604645</wp:posOffset>
                </wp:positionH>
                <wp:positionV relativeFrom="paragraph">
                  <wp:posOffset>45085</wp:posOffset>
                </wp:positionV>
                <wp:extent cx="2954020" cy="4502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4502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в администрацию Камышловского городского округа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(в том числе заявителя через МФЦ)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232.6pt;height:35.45pt;mso-wrap-distance-left:9pt;mso-wrap-distance-right:9pt;mso-wrap-distance-top:0pt;mso-wrap-distance-bottom:0pt;margin-top:3.55pt;mso-position-vertical-relative:text;margin-left:126.35pt;mso-position-horizontal-relative:text"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обращение заявителя в администрацию Камышловского городского округа 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</w:rPr>
                        <w:t>(в том числе заявителя через МФЦ)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sz w:val="23"/>
                          <w:szCs w:val="23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-222885</wp:posOffset>
                </wp:positionH>
                <wp:positionV relativeFrom="paragraph">
                  <wp:posOffset>116205</wp:posOffset>
                </wp:positionV>
                <wp:extent cx="1827530" cy="635"/>
                <wp:effectExtent l="1270" t="1270" r="635" b="635"/>
                <wp:wrapNone/>
                <wp:docPr id="2" name="Прямая со стрелкой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73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71" stroked="t" o:allowincell="f" style="position:absolute;margin-left:-17.55pt;margin-top:9.15pt;width:143.85pt;height:0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-222250</wp:posOffset>
                </wp:positionH>
                <wp:positionV relativeFrom="paragraph">
                  <wp:posOffset>114935</wp:posOffset>
                </wp:positionV>
                <wp:extent cx="635" cy="4830445"/>
                <wp:effectExtent l="635" t="1270" r="1270" b="635"/>
                <wp:wrapNone/>
                <wp:docPr id="3" name="Прямая со стрелкой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8304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2" stroked="t" o:allowincell="f" style="position:absolute;margin-left:-17.5pt;margin-top:9.05pt;width:0pt;height:380.3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3133090</wp:posOffset>
                </wp:positionH>
                <wp:positionV relativeFrom="paragraph">
                  <wp:posOffset>13335</wp:posOffset>
                </wp:positionV>
                <wp:extent cx="1270" cy="447040"/>
                <wp:effectExtent l="36830" t="635" r="38100" b="635"/>
                <wp:wrapNone/>
                <wp:docPr id="4" name="Прямая со стрелкой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4471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70" stroked="t" o:allowincell="f" style="position:absolute;margin-left:246.7pt;margin-top:1.05pt;width:0.05pt;height:35.1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80" w:rightFromText="180" w:tblpX="4364" w:tblpY="433"/>
        <w:tblW w:w="46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>
          <w:trHeight w:val="405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прием и регистрация заявления, документов в администрации Камышловского городского округа или МФЦ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cs="Times New Roman" w:ascii="Times New Roman" w:hAnsi="Times New Roman"/>
          <w:vanish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" cy="287020"/>
                <wp:effectExtent l="38100" t="635" r="37465" b="635"/>
                <wp:wrapNone/>
                <wp:docPr id="5" name="Прямая со стрелкой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69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9" stroked="t" o:allowincell="f" style="position:absolute;margin-left:246.8pt;margin-top:9.55pt;width:0pt;height:22.5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pPr w:vertAnchor="text" w:horzAnchor="page" w:leftFromText="180" w:rightFromText="180" w:tblpX="4258" w:tblpY="143"/>
        <w:tblW w:w="46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</w:tblGrid>
      <w:tr>
        <w:trPr>
          <w:trHeight w:val="300" w:hRule="atLeast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рассмотрение обращения должностным лицом</w:t>
            </w:r>
          </w:p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администрации Камышловского городского округа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/>
      <w:r>
        <w:rPr>
          <w:rFonts w:cs="Times New Roman" w:ascii="Times New Roman" w:hAnsi="Times New Roman"/>
          <w:color w:val="000000"/>
          <w:sz w:val="28"/>
          <w:szCs w:val="28"/>
        </w:rPr>
        <w:t>30дней</w:t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cs="Times New Roman" w:ascii="Times New Roman" w:hAnsi="Times New Roman"/>
          <w:vanish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3133090</wp:posOffset>
                </wp:positionH>
                <wp:positionV relativeFrom="paragraph">
                  <wp:posOffset>98425</wp:posOffset>
                </wp:positionV>
                <wp:extent cx="1270" cy="204470"/>
                <wp:effectExtent l="38100" t="635" r="36830" b="635"/>
                <wp:wrapNone/>
                <wp:docPr id="6" name="Прямая со стрелкой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2044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8" stroked="t" o:allowincell="f" style="position:absolute;margin-left:246.7pt;margin-top:7.75pt;width:0.05pt;height:16.05pt;flip:x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pPr w:vertAnchor="text" w:horzAnchor="page" w:leftFromText="180" w:rightFromText="180" w:tblpX="4273" w:tblpY="-43"/>
        <w:tblW w:w="46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8"/>
      </w:tblGrid>
      <w:tr>
        <w:trPr/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pacing w:before="0" w:after="20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рассмотрение заявления и документов в подразделении администрации Камышловского городского округа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3787140</wp:posOffset>
                </wp:positionH>
                <wp:positionV relativeFrom="paragraph">
                  <wp:posOffset>33655</wp:posOffset>
                </wp:positionV>
                <wp:extent cx="635" cy="635000"/>
                <wp:effectExtent l="37465" t="635" r="38100" b="635"/>
                <wp:wrapNone/>
                <wp:docPr id="7" name="Прямая со стрелкой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350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7" stroked="t" o:allowincell="f" style="position:absolute;margin-left:298.2pt;margin-top:2.65pt;width:0pt;height:49.9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2082800</wp:posOffset>
                </wp:positionH>
                <wp:positionV relativeFrom="paragraph">
                  <wp:posOffset>33655</wp:posOffset>
                </wp:positionV>
                <wp:extent cx="635" cy="145415"/>
                <wp:effectExtent l="38100" t="1270" r="37465" b="0"/>
                <wp:wrapNone/>
                <wp:docPr id="8" name="Прямая со стрелкой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54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6" stroked="t" o:allowincell="f" style="position:absolute;margin-left:164pt;margin-top:2.65pt;width:0pt;height:11.4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80" w:rightFromText="180" w:tblpX="2569" w:tblpY="23"/>
        <w:tblW w:w="396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9"/>
      </w:tblGrid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 w:themeFill="background1"/>
              <w:spacing w:before="0" w:after="20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 w:themeFill="background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pPr w:vertAnchor="text" w:horzAnchor="page" w:leftFromText="180" w:rightFromText="180" w:tblpX="6591" w:tblpY="58"/>
        <w:tblW w:w="40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04"/>
      </w:tblGrid>
      <w:tr>
        <w:trPr>
          <w:trHeight w:val="388" w:hRule="atLeast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1863725</wp:posOffset>
                </wp:positionH>
                <wp:positionV relativeFrom="paragraph">
                  <wp:posOffset>26035</wp:posOffset>
                </wp:positionV>
                <wp:extent cx="635" cy="285750"/>
                <wp:effectExtent l="38100" t="635" r="37465" b="635"/>
                <wp:wrapNone/>
                <wp:docPr id="9" name="Прямая со стрелкой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858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5" stroked="t" o:allowincell="f" style="position:absolute;margin-left:146.75pt;margin-top:2.05pt;width:0pt;height:22.4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pPr w:vertAnchor="text" w:horzAnchor="page" w:leftFromText="180" w:rightFromText="180" w:tblpX="2455" w:tblpY="22"/>
        <w:tblW w:w="396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69"/>
      </w:tblGrid>
      <w:tr>
        <w:trPr/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подготовка проекта ответа заявителю специалистом подразделения</w:t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4158615</wp:posOffset>
                </wp:positionH>
                <wp:positionV relativeFrom="paragraph">
                  <wp:posOffset>118745</wp:posOffset>
                </wp:positionV>
                <wp:extent cx="635" cy="494665"/>
                <wp:effectExtent l="37465" t="1270" r="38100" b="0"/>
                <wp:wrapNone/>
                <wp:docPr id="10" name="Прямая со стрелкой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946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4" stroked="t" o:allowincell="f" style="position:absolute;margin-left:327.45pt;margin-top:9.35pt;width:0pt;height:38.9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cs="Times New Roman" w:ascii="Times New Roman" w:hAnsi="Times New Roman"/>
          <w:vanish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5" cy="278130"/>
                <wp:effectExtent l="38100" t="635" r="37465" b="635"/>
                <wp:wrapNone/>
                <wp:docPr id="11" name="Прямая со стрелкой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828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3" stroked="t" o:allowincell="f" style="position:absolute;margin-left:146.9pt;margin-top:1.1pt;width:0pt;height:21.8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cs="Times New Roman" w:ascii="Times New Roman" w:hAnsi="Times New Roman"/>
          <w:vanish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pPr w:vertAnchor="text" w:horzAnchor="page" w:leftFromText="180" w:rightFromText="180" w:tblpX="4408" w:tblpY="-60"/>
        <w:tblW w:w="464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</w:tblGrid>
      <w:tr>
        <w:trPr>
          <w:trHeight w:val="416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должностным лицом администрации Камышловского городского округа</w:t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3138170</wp:posOffset>
                </wp:positionH>
                <wp:positionV relativeFrom="paragraph">
                  <wp:posOffset>318135</wp:posOffset>
                </wp:positionV>
                <wp:extent cx="635" cy="168275"/>
                <wp:effectExtent l="38100" t="1270" r="37465" b="0"/>
                <wp:wrapNone/>
                <wp:docPr id="12" name="Прямая со стрелкой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681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2" stroked="t" o:allowincell="f" style="position:absolute;margin-left:247.1pt;margin-top:25.05pt;width:0pt;height:13.2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pPr w:vertAnchor="text" w:horzAnchor="page" w:leftFromText="180" w:rightFromText="180" w:tblpX="3160" w:tblpY="-31"/>
        <w:tblW w:w="76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621"/>
      </w:tblGrid>
      <w:tr>
        <w:trPr>
          <w:trHeight w:val="129" w:hRule="atLeast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Регистрация, ответа или уведомления об оставлении обращения без ответа по существу поставленных вопросов специалистом администрации Камышловского городского округа в течение 1 рабочего дня</w:t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4558030</wp:posOffset>
                </wp:positionH>
                <wp:positionV relativeFrom="paragraph">
                  <wp:posOffset>340995</wp:posOffset>
                </wp:positionV>
                <wp:extent cx="635" cy="223520"/>
                <wp:effectExtent l="38100" t="635" r="37465" b="635"/>
                <wp:wrapNone/>
                <wp:docPr id="13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" stroked="t" o:allowincell="f" style="position:absolute;margin-left:358.9pt;margin-top:26.85pt;width:0pt;height:17.5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-222885</wp:posOffset>
                </wp:positionH>
                <wp:positionV relativeFrom="paragraph">
                  <wp:posOffset>76200</wp:posOffset>
                </wp:positionV>
                <wp:extent cx="1019175" cy="635"/>
                <wp:effectExtent l="1270" t="37465" r="0" b="38100"/>
                <wp:wrapNone/>
                <wp:docPr id="14" name="Прямая со стрелкой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60" cy="72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1" stroked="t" o:allowincell="f" style="position:absolute;margin-left:-17.55pt;margin-top:6pt;width:80.2pt;height:0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2386330</wp:posOffset>
                </wp:positionH>
                <wp:positionV relativeFrom="paragraph">
                  <wp:posOffset>340995</wp:posOffset>
                </wp:positionV>
                <wp:extent cx="635" cy="223520"/>
                <wp:effectExtent l="38100" t="635" r="37465" b="635"/>
                <wp:wrapNone/>
                <wp:docPr id="15" name="Прямая со стрелкой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35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0" stroked="t" o:allowincell="f" style="position:absolute;margin-left:187.9pt;margin-top:26.85pt;width:0pt;height:17.55pt;mso-wrap-style:none;v-text-anchor:middle" type="_x0000_t32">
                <v:fill o:detectmouseclick="t" on="false"/>
                <v:stroke color="black" endarrow="block" endarrowwidth="medium" endarrowlength="medium" joinstyle="round" endcap="flat"/>
                <w10:wrap type="none"/>
              </v:shape>
            </w:pict>
          </mc:Fallback>
        </mc:AlternateContent>
      </w:r>
      <w:r>
        <w:rPr/>
        <w:br w:type="textWrapping" w:clear="all"/>
      </w:r>
    </w:p>
    <w:tbl>
      <w:tblPr>
        <w:tblpPr w:vertAnchor="text" w:horzAnchor="page" w:leftFromText="180" w:rightFromText="180" w:tblpX="7143" w:tblpY="237"/>
        <w:tblW w:w="35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0"/>
      </w:tblGrid>
      <w:tr>
        <w:trPr/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44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52"/>
      </w:tblGrid>
      <w:tr>
        <w:trPr>
          <w:trHeight w:val="1071" w:hRule="atLeast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351790</wp:posOffset>
                      </wp:positionV>
                      <wp:extent cx="635" cy="223520"/>
                      <wp:effectExtent l="38100" t="635" r="37465" b="1270"/>
                      <wp:wrapNone/>
                      <wp:docPr id="16" name="Прямая со стрелко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223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ая со стрелкой 2" stroked="t" o:allowincell="t" style="position:absolute;margin-left:358.85pt;margin-top:27.7pt;width:0pt;height:17.55pt;mso-wrap-style:none;v-text-anchor:middle" type="_x0000_t32">
                      <v:fill o:detectmouseclick="t" on="false"/>
                      <v:stroke color="black" endarrow="block" endarrowwidth="medium" endarrowlength="medium" joinstyle="round" endcap="flat"/>
                      <w10:wrap type="none"/>
                    </v:shape>
                  </w:pict>
                </mc:Fallback>
              </mc:AlternateConten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 Камышловского городского округа</w:t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575310</wp:posOffset>
                      </wp:positionV>
                      <wp:extent cx="2500630" cy="447675"/>
                      <wp:effectExtent l="0" t="0" r="0" b="0"/>
                      <wp:wrapNone/>
                      <wp:docPr id="17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0630" cy="4476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8"/>
                                    <w:widowControl w:val="false"/>
                                    <w:spacing w:before="0" w:after="20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выдача заявителю ответа специалистом МФЦ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-0;width:196.9pt;height:35.25pt;mso-wrap-distance-left:9pt;mso-wrap-distance-right:9pt;mso-wrap-distance-top:0pt;mso-wrap-distance-bottom:0pt;margin-top:45.3pt;mso-position-vertical-relative:text;margin-left:255.35pt;mso-position-horizontal-relative:text">
                      <v:textbox>
                        <w:txbxContent>
                          <w:p>
                            <w:pPr>
                              <w:pStyle w:val="Style28"/>
                              <w:widowControl w:val="false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выдача заявителю ответа специалистом МФЦ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 w:themeFill="background1"/>
        <w:tabs>
          <w:tab w:val="clear" w:pos="708"/>
          <w:tab w:val="left" w:pos="1780" w:leader="none"/>
        </w:tabs>
        <w:spacing w:lineRule="auto" w:line="240" w:before="0" w:after="0"/>
        <w:ind w:left="4956" w:hanging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РЕКОМЕНДУЕМАЯ ФОРМА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ЗАЯВЛЕНИЯ О ПРЕДОСТАВЛЕНИИ ИНФОРМАЦИИ О ПОРЯДКЕ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подразделения администрации Камышловского городского округа)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</w:t>
      </w:r>
    </w:p>
    <w:p>
      <w:pPr>
        <w:pStyle w:val="Normal"/>
        <w:spacing w:lineRule="auto" w:line="240" w:before="0" w:after="0"/>
        <w:ind w:left="1701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(фамилия, имя, отчество заявителя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  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юридического лица)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почтовый адрес: 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телефон: 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ind w:left="15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Par305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                          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   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Прошу     предоставить     информацию    о    порядке    предоставления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Информацию готов получить (отметить нужное):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┌──┐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│  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лично в руки;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└──┘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┌──┐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│  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почтой по адресу ____________________________________________________;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└──┘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┌──┐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│  │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электронной почтой по адресу: 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└──┘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(дата) __________________________                (подпись)_______________________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 w:themeFill="background1"/>
        <w:spacing w:before="0" w:after="20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headerReference w:type="default" r:id="rId7"/>
      <w:type w:val="nextPage"/>
      <w:pgSz w:w="11906" w:h="16838"/>
      <w:pgMar w:left="1701" w:right="851" w:gutter="0" w:header="709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119176358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37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44308580"/>
    </w:sdtPr>
    <w:sdtContent>
      <w:p>
        <w:pPr>
          <w:pStyle w:val="Style2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 xml:space="preserve"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40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0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7c1b17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5">
    <w:name w:val="Hyperlink"/>
    <w:basedOn w:val="DefaultParagraphFont"/>
    <w:uiPriority w:val="99"/>
    <w:unhideWhenUsed/>
    <w:rsid w:val="00bd3a13"/>
    <w:rPr>
      <w:color w:val="0000FF" w:themeColor="hyperlink"/>
      <w:u w:val="single"/>
    </w:rPr>
  </w:style>
  <w:style w:type="character" w:styleId="1" w:customStyle="1">
    <w:name w:val="Заголовок №1_"/>
    <w:link w:val="11"/>
    <w:uiPriority w:val="99"/>
    <w:qFormat/>
    <w:locked/>
    <w:rsid w:val="001037b7"/>
    <w:rPr>
      <w:b/>
      <w:bCs/>
      <w:sz w:val="27"/>
      <w:szCs w:val="27"/>
      <w:shd w:fill="FFFFFF" w:val="clear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fd06ce"/>
    <w:rPr/>
  </w:style>
  <w:style w:type="character" w:styleId="Style18" w:customStyle="1">
    <w:name w:val="Нижний колонтитул Знак"/>
    <w:basedOn w:val="DefaultParagraphFont"/>
    <w:uiPriority w:val="99"/>
    <w:qFormat/>
    <w:rsid w:val="00fd06ce"/>
    <w:rPr/>
  </w:style>
  <w:style w:type="character" w:styleId="Xphmenubutton" w:customStyle="1">
    <w:name w:val="x-ph__menu__button"/>
    <w:basedOn w:val="DefaultParagraphFont"/>
    <w:qFormat/>
    <w:rsid w:val="00352651"/>
    <w:rPr/>
  </w:style>
  <w:style w:type="character" w:styleId="Style19">
    <w:name w:val="FollowedHyperlink"/>
    <w:rPr>
      <w:color w:val="800000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link w:val="Style14"/>
    <w:rsid w:val="007c1b1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d055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05598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qFormat/>
    <w:rsid w:val="008e5a7c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ac268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11" w:customStyle="1">
    <w:name w:val="Заголовок №1"/>
    <w:basedOn w:val="Normal"/>
    <w:link w:val="1"/>
    <w:uiPriority w:val="99"/>
    <w:qFormat/>
    <w:rsid w:val="001037b7"/>
    <w:pPr>
      <w:widowControl w:val="false"/>
      <w:shd w:val="clear" w:color="auto" w:fill="FFFFFF"/>
      <w:spacing w:lineRule="atLeast" w:line="240" w:before="300" w:after="300"/>
      <w:ind w:hanging="2960"/>
      <w:outlineLvl w:val="0"/>
    </w:pPr>
    <w:rPr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3c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7813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7"/>
    <w:uiPriority w:val="99"/>
    <w:unhideWhenUsed/>
    <w:rsid w:val="00fd06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18"/>
    <w:uiPriority w:val="99"/>
    <w:unhideWhenUsed/>
    <w:rsid w:val="00fd06c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od-kamyshlov.ru)" TargetMode="External"/><Relationship Id="rId3" Type="http://schemas.openxmlformats.org/officeDocument/2006/relationships/hyperlink" Target="consultantplus://offline/ref=2911DC1BD35D573391DE05913CCF58BE968D8241F093F3429049D7A44C9049385803A9390F1E29EEB5zAJ" TargetMode="External"/><Relationship Id="rId4" Type="http://schemas.openxmlformats.org/officeDocument/2006/relationships/hyperlink" Target="consultantplus://offline/ref=2911DC1BD35D573391DE05913CCF58BE968D8241F093F3429049D7A44C9049385803A9390F1E29EEB5zAJ" TargetMode="External"/><Relationship Id="rId5" Type="http://schemas.openxmlformats.org/officeDocument/2006/relationships/hyperlink" Target="http://www.mfc66.r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1BB-CE03-422E-AD26-FB2AC27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LibreOffice/7.4.3.2$Linux_X86_64 LibreOffice_project/40$Build-2</Application>
  <AppVersion>15.0000</AppVersion>
  <Pages>40</Pages>
  <Words>5525</Words>
  <Characters>42313</Characters>
  <CharactersWithSpaces>47618</CharactersWithSpaces>
  <Paragraphs>650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2017-02-20T03:01:00Z</dcterms:created>
  <dc:creator>Изместьева В. Ирина</dc:creator>
  <dc:description/>
  <dc:language>ru-RU</dc:language>
  <cp:lastModifiedBy/>
  <cp:lastPrinted>2016-09-28T05:56:00Z</cp:lastPrinted>
  <dcterms:modified xsi:type="dcterms:W3CDTF">2023-04-10T15:54:25Z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