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4 </w:t>
      </w:r>
    </w:p>
    <w:p>
      <w:pPr>
        <w:pStyle w:val="Style22"/>
        <w:ind w:firstLine="504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2"/>
        <w:tabs>
          <w:tab w:val="clear" w:pos="708"/>
        </w:tabs>
        <w:ind w:left="504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Style22"/>
        <w:tabs>
          <w:tab w:val="clear" w:pos="708"/>
        </w:tabs>
        <w:ind w:left="4332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sz w:val="28"/>
          <w:szCs w:val="28"/>
        </w:rPr>
        <w:t xml:space="preserve">09.04.2019 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312</w:t>
      </w:r>
    </w:p>
    <w:p>
      <w:pPr>
        <w:pStyle w:val="Style22"/>
        <w:ind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>
      <w:pPr>
        <w:pStyle w:val="Style22"/>
        <w:ind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и проведении демонстрации трудящихся 1 мая 2019 года на территории Камышловского городского округа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Тема демонстрации</w:t>
      </w:r>
      <w:r>
        <w:rPr>
          <w:rStyle w:val="Style14"/>
          <w:rFonts w:ascii="Liberation Serif" w:hAnsi="Liberation Serif"/>
          <w:sz w:val="28"/>
          <w:szCs w:val="28"/>
        </w:rPr>
        <w:t xml:space="preserve"> – «85 лет вместе - у области и города цели едины!»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Время проведения</w:t>
      </w:r>
      <w:r>
        <w:rPr>
          <w:rStyle w:val="Style14"/>
          <w:rFonts w:ascii="Liberation Serif" w:hAnsi="Liberation Serif"/>
          <w:sz w:val="28"/>
          <w:szCs w:val="28"/>
        </w:rPr>
        <w:t>: 01 мая 2019 г. в 11.00 часов.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Место проведения демонстрации</w:t>
      </w:r>
      <w:r>
        <w:rPr>
          <w:rStyle w:val="Style14"/>
          <w:rFonts w:ascii="Liberation Serif" w:hAnsi="Liberation Serif"/>
          <w:sz w:val="28"/>
          <w:szCs w:val="28"/>
        </w:rPr>
        <w:t xml:space="preserve"> – демонстрация стартует от здания магазина «5-ый сезон» (ул. К. Маркса и ул. Маяковского), проходит по улицам Ленина, Энгельса и расформировывается.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Основная задача демонстрации</w:t>
      </w:r>
      <w:r>
        <w:rPr>
          <w:rStyle w:val="Style14"/>
          <w:rFonts w:ascii="Liberation Serif" w:hAnsi="Liberation Serif"/>
          <w:sz w:val="28"/>
          <w:szCs w:val="28"/>
        </w:rPr>
        <w:t xml:space="preserve"> – прославление трудящихся города, единство жителей города, создание праздничного настроения.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Условия демонстрации</w:t>
      </w:r>
      <w:r>
        <w:rPr>
          <w:rStyle w:val="Style14"/>
          <w:rFonts w:ascii="Liberation Serif" w:hAnsi="Liberation Serif"/>
          <w:sz w:val="28"/>
          <w:szCs w:val="28"/>
        </w:rPr>
        <w:t xml:space="preserve"> – основным условием демонстрации является создание колонны соответствующей теме, задачам и техническим требованиям.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Механизм участия в демонстрации</w:t>
      </w:r>
      <w:r>
        <w:rPr>
          <w:rStyle w:val="Style14"/>
          <w:rFonts w:ascii="Liberation Serif" w:hAnsi="Liberation Serif"/>
          <w:sz w:val="28"/>
          <w:szCs w:val="28"/>
        </w:rPr>
        <w:t xml:space="preserve"> – участником демонстрации может стать любое предприятие, учреждение города, любая некоммерческая организация и коммерческая фирма, которая:</w:t>
      </w:r>
    </w:p>
    <w:p>
      <w:pPr>
        <w:pStyle w:val="1"/>
        <w:keepNext w:val="false"/>
        <w:keepLines w:val="false"/>
        <w:pageBreakBefore w:val="false"/>
        <w:widowControl/>
        <w:numPr>
          <w:ilvl w:val="0"/>
          <w:numId w:val="1"/>
        </w:numPr>
        <w:tabs>
          <w:tab w:val="left" w:pos="0" w:leader="none"/>
        </w:tabs>
        <w:suppressAutoHyphens w:val="true"/>
        <w:overflowPunct w:val="false"/>
        <w:bidi w:val="0"/>
        <w:snapToGrid w:val="true"/>
        <w:spacing w:lineRule="auto" w:line="276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срок до 23 апреля 2019 г.  подаст в автономное муниципальное учреждение культуры Камышловского городского округам «Центр культуры и досуга» заявку-анкету установленного образца с краткой информацией о датах, важных событиях за прошедший год, знаменательные факты из жизни и деятельности учреждения, организации. </w:t>
      </w:r>
    </w:p>
    <w:p>
      <w:pPr>
        <w:pStyle w:val="1"/>
        <w:keepNext w:val="false"/>
        <w:keepLines w:val="false"/>
        <w:pageBreakBefore w:val="false"/>
        <w:widowControl/>
        <w:numPr>
          <w:ilvl w:val="0"/>
          <w:numId w:val="1"/>
        </w:numPr>
        <w:tabs>
          <w:tab w:val="left" w:pos="0" w:leader="none"/>
        </w:tabs>
        <w:suppressAutoHyphens w:val="true"/>
        <w:overflowPunct w:val="false"/>
        <w:bidi w:val="0"/>
        <w:snapToGrid w:val="true"/>
        <w:spacing w:lineRule="auto" w:line="276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Ознакомится с правилами участия в демонстрации.</w:t>
      </w:r>
    </w:p>
    <w:p>
      <w:pPr>
        <w:pStyle w:val="1"/>
        <w:keepNext w:val="false"/>
        <w:keepLines w:val="false"/>
        <w:pageBreakBefore w:val="false"/>
        <w:widowControl/>
        <w:numPr>
          <w:ilvl w:val="0"/>
          <w:numId w:val="1"/>
        </w:numPr>
        <w:tabs>
          <w:tab w:val="left" w:pos="0" w:leader="none"/>
        </w:tabs>
        <w:suppressAutoHyphens w:val="true"/>
        <w:overflowPunct w:val="false"/>
        <w:bidi w:val="0"/>
        <w:snapToGrid w:val="true"/>
        <w:spacing w:lineRule="auto" w:line="276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Получит номер официального участника демонстрации, который определит место Вашей колонны.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Цветовое оформление</w:t>
      </w:r>
      <w:r>
        <w:rPr>
          <w:rStyle w:val="Style14"/>
          <w:rFonts w:ascii="Liberation Serif" w:hAnsi="Liberation Serif"/>
          <w:sz w:val="28"/>
          <w:szCs w:val="28"/>
        </w:rPr>
        <w:t xml:space="preserve"> – использование красного, голубого (синего) и белого цветов, цвета герба г. Камышлова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Технические требования</w:t>
      </w:r>
      <w:r>
        <w:rPr>
          <w:rStyle w:val="Style14"/>
          <w:rFonts w:ascii="Liberation Serif" w:hAnsi="Liberation Serif"/>
          <w:sz w:val="28"/>
          <w:szCs w:val="28"/>
        </w:rPr>
        <w:t xml:space="preserve"> к составу и оформлению колонн.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Декорированное транспортное средство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декорированным транспортным средством понимается грузовой, бортовой автомобиль или седельный прицеп с тягачом, а также открытый легковой автомобиль или иное транспортное средство, художественно оформленное в соответствии с тематикой колонны, которое может быть снабжено комплектом звукоусиления, с автономным источником питания (аккумуляторные батареи, генератор переменного тока), а так же радиоприемником.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Художественное оформление транспортного средства должно включать в себя: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Для грузовых, бортовых автомобилей и седельных прицепов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sz w:val="28"/>
          <w:szCs w:val="28"/>
        </w:rPr>
        <w:t>с тягачом: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деревянный настил на платформе грузового автомобиля или прицепа;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оформление передней и боковых частей кабины не должны закрывать обзора водителю;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задняя часть грузовой платформы (прицепа) и колеса с двух сторон могут быть закрыты «юбкой» - тканью или щитами с художественным оформлением (шириной 0,8 – 1 м);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для членов группы сопровождения, едущих на декорированной платформе, необходима специально выделенная, одно или двухуровневая площадка с ограждениями высотой 1 метр, а также трапы или лестницы (для спуска и подъема членов костюмированной группы);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плоскостные или объемные элементы художественного оформления, установленные на самой грузовой платформе автомобиля или прицепа, отражающие художественный образ и тематику колонны;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флаги и транспаранты, растяжки с названием колонны (организация, учреждения, фирмы и т. д.), смонтированные на платформе автомобиля.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Для легковых автомобилей</w:t>
      </w:r>
      <w:r>
        <w:rPr>
          <w:rStyle w:val="Style14"/>
          <w:rFonts w:ascii="Liberation Serif" w:hAnsi="Liberation Serif"/>
          <w:sz w:val="28"/>
          <w:szCs w:val="28"/>
        </w:rPr>
        <w:t>: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площадка для членов группы, едущих на машине;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объемное или плоскостное художественное оформление, соответствующее тематике колонны и отражающее ее художественный образ, смонтированное на жесткой металлической конструкции и закрывающее весь автомобиль или ее переднюю (не закрывая обзора водителю) и боковые части;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флаги, транспаранты, растяжки с названием, смонтированные на самом автомобиле.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Группа сопровождения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группой сопровождения понимается группа участников численностью: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100 до 300 – для крупных предприятий города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20 до 100 – для коммерческих колонн, учреждений и организаций, малых и средних предприятий города, сопровождающих декорированную платформу своей колонны.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сопровождения должна соответствовать следующим требованиям: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может быть одета в яркие и соответствующие тематике своей колонны костюмы. (прим. это не значит, что костюмы должны быть очень дорогими и роскошными. Они могут иметь одинаковую атрибутику, чтобы издалека было видно отличие колонны от остальных участников демонстрации);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часть группы сопровождения должны нести впереди своей колонны транспарант (растяжку) с названием своей организации, предприятия, учреждения;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группу сопровождения может входить музыкальный или танцевальный коллектив, обыгрывающий движения колонны;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группа сопровождения может нести любые вертикальные конструкции (флаги, транспаранты, баннеры, фигуры из воздушных шаров, декорированные фонари, рекламные плакаты и т. п.);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группа сопровождения может скандировать во время движения речевки или рекламные слоганы.</w:t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Особые требования к колоннам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высота декорированного транспортного средства и любых вертикальных конструкций не должна превышать 3,5 м от уровня земли.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Заявки на участие в демонстрации принимаются по адресу: г. Камышлов, ул. Вокзальная, 14а. Тел.\факс 2-02-01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e</w:t>
      </w:r>
      <w:r>
        <w:rPr>
          <w:rStyle w:val="Style14"/>
          <w:rFonts w:ascii="Liberation Serif" w:hAnsi="Liberation Serif"/>
          <w:sz w:val="28"/>
          <w:szCs w:val="28"/>
        </w:rPr>
        <w:t>-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mail</w:t>
      </w:r>
      <w:r>
        <w:rPr>
          <w:rStyle w:val="Style14"/>
          <w:rFonts w:ascii="Liberation Serif" w:hAnsi="Liberation Serif"/>
          <w:sz w:val="28"/>
          <w:szCs w:val="28"/>
        </w:rPr>
        <w:t xml:space="preserve">: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ckid</w:t>
      </w:r>
      <w:r>
        <w:rPr>
          <w:rStyle w:val="Style14"/>
          <w:rFonts w:ascii="Liberation Serif" w:hAnsi="Liberation Serif"/>
          <w:sz w:val="28"/>
          <w:szCs w:val="28"/>
        </w:rPr>
        <w:t>@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mail</w:t>
      </w:r>
      <w:r>
        <w:rPr>
          <w:rStyle w:val="Style14"/>
          <w:rFonts w:ascii="Liberation Serif" w:hAnsi="Liberation Serif"/>
          <w:sz w:val="28"/>
          <w:szCs w:val="28"/>
        </w:rPr>
        <w:t>.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ru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Style22"/>
        <w:ind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4468" w:type="dxa"/>
        <w:jc w:val="left"/>
        <w:tblInd w:w="510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</w:tblGrid>
      <w:tr>
        <w:trPr/>
        <w:tc>
          <w:tcPr>
            <w:tcW w:w="4468" w:type="dxa"/>
            <w:tcBorders/>
            <w:shd w:fill="auto" w:val="clear"/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к Положению об организации и проведении демонстрации трудящихся 1 мая 2019 года на территории Камышловского городского округа</w:t>
            </w:r>
          </w:p>
        </w:tc>
      </w:tr>
    </w:tbl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 НА УЧАСТИЕ В ПЕРВОМАЙСКОЙ ДЕМОНСТРАЦИИ</w:t>
      </w:r>
    </w:p>
    <w:p>
      <w:pPr>
        <w:pStyle w:val="Style22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spacing w:before="0" w:after="0"/>
        <w:ind w:left="106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Полное название организации, учреждения, предприятия (контактный телефон – ответственного за колонну)  _________________________________________________________________________________________________________________________________</w:t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spacing w:before="0" w:after="0"/>
        <w:ind w:left="106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участников  в колонне ______________________</w:t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spacing w:before="0" w:after="0"/>
        <w:ind w:left="106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Наличие транспортного средства (количество, марка, гос. номера) ___________________________________________________________</w:t>
      </w:r>
    </w:p>
    <w:p>
      <w:pPr>
        <w:pStyle w:val="1"/>
        <w:numPr>
          <w:ilvl w:val="0"/>
          <w:numId w:val="2"/>
        </w:numPr>
        <w:tabs>
          <w:tab w:val="left" w:pos="0" w:leader="none"/>
        </w:tabs>
        <w:spacing w:before="0" w:after="0"/>
        <w:ind w:left="106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Текст приветствия колонны: </w:t>
      </w:r>
    </w:p>
    <w:p>
      <w:pPr>
        <w:pStyle w:val="1"/>
        <w:numPr>
          <w:ilvl w:val="0"/>
          <w:numId w:val="3"/>
        </w:numPr>
        <w:tabs>
          <w:tab w:val="left" w:pos="0" w:leader="none"/>
        </w:tabs>
        <w:spacing w:before="0" w:after="0"/>
        <w:ind w:left="1789" w:hanging="360"/>
        <w:jc w:val="both"/>
        <w:rPr>
          <w:rFonts w:ascii="Liberation Serif" w:hAnsi="Liberation Serif"/>
          <w:b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Информация должна содержать не более 10-ти кратких и лаконичных предложений: факты, события, знаменательные даты в этом году.</w:t>
      </w:r>
    </w:p>
    <w:p>
      <w:pPr>
        <w:pStyle w:val="1"/>
        <w:numPr>
          <w:ilvl w:val="0"/>
          <w:numId w:val="3"/>
        </w:numPr>
        <w:tabs>
          <w:tab w:val="left" w:pos="0" w:leader="none"/>
        </w:tabs>
        <w:spacing w:before="0" w:after="0"/>
        <w:ind w:left="178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руководителя (расшифровка), лучшие работники (полная расшифровка инициалов ФИО с указанием ударения в сложных фамилиях)</w:t>
      </w:r>
    </w:p>
    <w:p>
      <w:pPr>
        <w:pStyle w:val="1"/>
        <w:numPr>
          <w:ilvl w:val="0"/>
          <w:numId w:val="3"/>
        </w:numPr>
        <w:tabs>
          <w:tab w:val="left" w:pos="0" w:leader="none"/>
        </w:tabs>
        <w:spacing w:before="0" w:after="0"/>
        <w:ind w:left="178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должна соответствовать теме.</w:t>
      </w:r>
    </w:p>
    <w:p>
      <w:pPr>
        <w:pStyle w:val="1"/>
        <w:numPr>
          <w:ilvl w:val="0"/>
          <w:numId w:val="3"/>
        </w:numPr>
        <w:tabs>
          <w:tab w:val="left" w:pos="0" w:leader="none"/>
        </w:tabs>
        <w:spacing w:before="0" w:after="0"/>
        <w:ind w:left="1789" w:hanging="36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Во избежание недоразумений </w:t>
      </w:r>
      <w:r>
        <w:rPr>
          <w:rStyle w:val="Style14"/>
          <w:rFonts w:ascii="Liberation Serif" w:hAnsi="Liberation Serif"/>
          <w:sz w:val="28"/>
          <w:szCs w:val="28"/>
          <w:u w:val="single"/>
        </w:rPr>
        <w:t>текст принимается в печатном и электронном виде.</w:t>
      </w:r>
    </w:p>
    <w:p>
      <w:pPr>
        <w:pStyle w:val="1"/>
        <w:numPr>
          <w:ilvl w:val="0"/>
          <w:numId w:val="3"/>
        </w:numPr>
        <w:tabs>
          <w:tab w:val="left" w:pos="0" w:leader="none"/>
        </w:tabs>
        <w:spacing w:before="0" w:after="0"/>
        <w:ind w:left="1789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Организаторы оставляют за собой право редактировать и сокращать поданную информацию!!!</w:t>
      </w:r>
    </w:p>
    <w:p>
      <w:pPr>
        <w:pStyle w:val="Style22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9" w:top="1134" w:footer="0" w:bottom="70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sz w:val="28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12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ListLabel1">
    <w:name w:val="ListLabel 1"/>
    <w:qFormat/>
    <w:rPr>
      <w:rFonts w:ascii="Liberation Serif" w:hAnsi="Liberation Serif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Liberation Serif" w:hAnsi="Liberation Serif"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Liberation Serif" w:hAnsi="Liberation Serif"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Абзац списка1"/>
    <w:basedOn w:val="Style22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4</Pages>
  <Words>738</Words>
  <Characters>5256</Characters>
  <CharactersWithSpaces>5943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2019-03-28T09:31:00Z</dcterms:created>
  <dc:creator>Анжела</dc:creator>
  <dc:description/>
  <dc:language>ru-RU</dc:language>
  <cp:lastModifiedBy/>
  <cp:lastPrinted>2019-04-09T09:40:59Z</cp:lastPrinted>
  <dcterms:modified xsi:type="dcterms:W3CDTF">2019-04-09T09:41:12Z</dcterms:modified>
  <cp:revision>4</cp:revision>
  <dc:subject/>
  <dc:title/>
</cp:coreProperties>
</file>