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76885" cy="78613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2"/>
        </w:numPr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ГЛАВА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П О С Т А Н О В Л Е Н И Е          </w:t>
      </w:r>
      <w:r>
        <w:rPr>
          <w:rFonts w:eastAsia="Liberation Serif;Times New Roman" w:cs="Liberation Serif;Times New Roman" w:ascii="Liberation Serif" w:hAnsi="Liberation Serif"/>
          <w:b/>
          <w:i w:val="false"/>
          <w:iCs w:val="false"/>
          <w:sz w:val="28"/>
          <w:szCs w:val="28"/>
        </w:rPr>
        <w:t>ПРОЕКТ</w:t>
      </w:r>
    </w:p>
    <w:p>
      <w:pPr>
        <w:pStyle w:val="Style22"/>
        <w:pBdr>
          <w:top w:val="double" w:sz="12" w:space="1" w:color="000000"/>
        </w:pBdr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Style22"/>
        <w:pBdr>
          <w:top w:val="double" w:sz="12" w:space="1" w:color="000000"/>
        </w:pBdr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1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spacing w:before="0" w:after="0"/>
        <w:ind w:left="0" w:right="0" w:hanging="0"/>
        <w:jc w:val="both"/>
        <w:textAlignment w:val="baseline"/>
        <w:rPr/>
      </w:pPr>
      <w:r>
        <w:rPr>
          <w:rStyle w:val="Style12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/>
        </w:rPr>
        <w:t>от ________ N ____</w:t>
      </w:r>
      <w:r>
        <w:rPr>
          <w:rStyle w:val="Style12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                    </w:t>
      </w:r>
      <w:r>
        <w:rPr>
          <w:rFonts w:ascii="Liberation Serif" w:hAnsi="Liberation Serif"/>
          <w:b/>
          <w:i/>
          <w:sz w:val="28"/>
          <w:szCs w:val="28"/>
        </w:rPr>
        <w:t xml:space="preserve">                   </w:t>
      </w:r>
    </w:p>
    <w:p>
      <w:pPr>
        <w:pStyle w:val="Normal"/>
        <w:jc w:val="center"/>
        <w:rPr>
          <w:rFonts w:ascii="Liberation Serif" w:hAnsi="Liberation Serif"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/>
      </w:pPr>
      <w:bookmarkStart w:id="0" w:name="__DdeLink__204_34190201"/>
      <w:bookmarkStart w:id="1" w:name="__DdeLink__71_89565139"/>
      <w:bookmarkStart w:id="2" w:name="__DdeLink__198_4262419495"/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О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внесении изменений в муниципальную программу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 xml:space="preserve"> «Формирование современной городской среды на территории   Камышловского городского округа на 2017-2027 годы»,  утвержденную постановлением главы Камышловского городского округа от 28.07.2017 года №719 (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27.09.2017 №887; от 29.11.2017 №1102;  от 15.12.2018 №1153, от 30.03.2018 № 283, от 12.10.2018 №879,  от 02.11.2018 № 941, от 28.01.2019 №30, от 28.03.2019 №288,  </w:t>
      </w:r>
      <w:bookmarkStart w:id="3" w:name="__DdeLink__206_34190201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от 27.09.2019 №835, от 1</w:t>
      </w:r>
      <w:bookmarkStart w:id="4" w:name="__DdeLink__700_618398798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6.01.2020 №</w:t>
      </w:r>
      <w:bookmarkEnd w:id="4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13, </w:t>
      </w:r>
      <w:bookmarkStart w:id="5" w:name="__DdeLink__213_2360190806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от 10.02.2020 №</w:t>
      </w:r>
      <w:bookmarkEnd w:id="5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82, от 16.07.2020 №479, от 13.11.2020 №790, от 18.01.2021 №24, от 24.02.2021 №135 от 22.06.2021 №423, от 20.07.2021 №497, от 08.09.2021 №635, от 07.10.2021 №730, от 25.01.2022 №55, от 26.07.2022 №656, от 25.01.2023 №70, от 15.09.2023 №1029)</w:t>
      </w:r>
      <w:bookmarkEnd w:id="0"/>
      <w:bookmarkEnd w:id="1"/>
      <w:bookmarkEnd w:id="2"/>
      <w:bookmarkEnd w:id="3"/>
    </w:p>
    <w:p>
      <w:pPr>
        <w:pStyle w:val="Normal"/>
        <w:jc w:val="both"/>
        <w:rPr>
          <w:rFonts w:ascii="Liberation Serif" w:hAnsi="Liberation Serif" w:cs="Liberation Serif"/>
          <w:i/>
          <w:i/>
          <w:color w:val="000000"/>
          <w:sz w:val="28"/>
          <w:szCs w:val="28"/>
        </w:rPr>
      </w:pPr>
      <w:r>
        <w:rPr>
          <w:rFonts w:cs="Liberation Serif" w:ascii="Liberation Serif" w:hAnsi="Liberation Serif"/>
          <w:i/>
          <w:color w:val="000000"/>
          <w:sz w:val="28"/>
          <w:szCs w:val="28"/>
        </w:rPr>
      </w:r>
    </w:p>
    <w:p>
      <w:pPr>
        <w:pStyle w:val="Style22"/>
        <w:jc w:val="both"/>
        <w:rPr/>
      </w:pPr>
      <w:r>
        <w:rPr>
          <w:rStyle w:val="Style12"/>
          <w:rFonts w:cs="Liberation Serif"/>
          <w:color w:val="000000"/>
          <w:sz w:val="28"/>
          <w:szCs w:val="28"/>
        </w:rPr>
        <w:tab/>
      </w:r>
      <w:r>
        <w:rPr>
          <w:rStyle w:val="Style12"/>
          <w:color w:val="000000"/>
          <w:sz w:val="28"/>
          <w:szCs w:val="28"/>
        </w:rPr>
        <w:t>В соответствии с Федеральным законом от 06.10.2003 № 131 «Об общих принципах организации местного самоуправления в Российской Федерации, государственной программой Свердловской области «Формирование современной городской среды на территории Свердловской области на 2017-2027 годы», утвержденной постановлением Правительства Свердловской области от 31.10.2017 №805-ПП, с Решением Думы Камышловского городского округа от 21.12.2023 №321 «О внесении изменений в Решение Думы Камышловского городского округа от 08.12.2022 № 180 «О бюджете Камышловского городского округа на 2023 год и плановый период 2024 и 2025 годов»,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Style22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>1. Внести в муниципальную программу «Формирование современной городской среды на территории   Камышловского городского округа на 2017-2027 годы»,  утвержденную постановлением главы Камышловского городского округа от 28.07.2017 года №719 (с изменениями внесенными постановлениями от 27.09.2017 №887; от 29.11.2017 №1102;  от 15.12.2018 №1153, от 30.03.2018 № 283, от 12.10.2018 №879,  от 02.11.2018 № 941, от 28.01.2019 №30, от 28.03.2019 №288,  от 27.09.2019 №835, от 16.01.2020 №13, от 10.02.2020 №82, от 16.07.2020 №479, от 13.11.2020 №790, от 18.01.2021 №24, от 24.02.2021 №135 от 22.06.2021 №423, от 20.07.2021 №497, от 08.09.2021 №635, от</w:t>
      </w:r>
    </w:p>
    <w:p>
      <w:pPr>
        <w:pStyle w:val="Style35"/>
        <w:ind w:left="1417" w:right="567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35"/>
        <w:ind w:left="1417" w:right="567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left="0" w:right="0" w:hanging="0"/>
        <w:jc w:val="both"/>
        <w:rPr/>
      </w:pPr>
      <w:r>
        <w:rPr>
          <w:rStyle w:val="Style12"/>
          <w:rFonts w:cs="Liberation Serif"/>
          <w:sz w:val="28"/>
          <w:szCs w:val="28"/>
        </w:rPr>
        <w:t>07.10.2021 №730, от 25.01.2022 №55, от 26.07.2022 №656, от 25.01.2023 №70, от 15.09.2023 №1029), следующие изменения: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Style w:val="Style12"/>
          <w:rFonts w:cs="Liberation Serif" w:ascii="Liberation Serif" w:hAnsi="Liberation Serif"/>
          <w:sz w:val="28"/>
          <w:szCs w:val="28"/>
        </w:rPr>
        <w:t>1.1. В паспорте Программы: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Style w:val="Style12"/>
          <w:rFonts w:cs="Liberation Serif" w:ascii="Liberation Serif" w:hAnsi="Liberation Serif"/>
          <w:sz w:val="28"/>
          <w:szCs w:val="28"/>
        </w:rPr>
        <w:t>1.1.1. Строку «Объемы финансирования Программы по годам реализации, рублей» изложить в новой редакции: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9498" w:type="dxa"/>
        <w:jc w:val="left"/>
        <w:tblInd w:w="-75" w:type="dxa"/>
        <w:tblLayout w:type="fixed"/>
        <w:tblCellMar>
          <w:top w:w="0" w:type="dxa"/>
          <w:left w:w="70" w:type="dxa"/>
          <w:bottom w:w="0" w:type="dxa"/>
          <w:right w:w="75" w:type="dxa"/>
        </w:tblCellMar>
      </w:tblPr>
      <w:tblGrid>
        <w:gridCol w:w="5111"/>
        <w:gridCol w:w="4386"/>
      </w:tblGrid>
      <w:tr>
        <w:trPr>
          <w:trHeight w:val="800" w:hRule="atLeast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Всего:</w:t>
            </w: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171 654 556,03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том числе: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2017 г - 0,00 </w:t>
              <w:br/>
              <w:t>2018 г – 19 889 207,79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2019 г – 10 280 717,38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2020 г – 38 709 034,86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 г – 57 060 783,43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2022 г –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37 516 436,37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>2023 г – 7 783 176,2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>2024 г – 1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03 800,00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2025 г. – 103 800,00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2026 г. – 103 800,00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2027 г. -  103 800,00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из них:         </w:t>
              <w:br/>
              <w:t xml:space="preserve">областной бюджет: </w:t>
            </w: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 xml:space="preserve">97 102 900,00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                  в том числе: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2017 г. - 0,00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2018 г –16 829 700,00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2019 г – 9 416 700,00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2020 г – 12 379 700,00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 г – 35 000 000,00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2022 г –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23 476 800,00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0,00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0,00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2025 г. – 0,00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2026 г. – 0,00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2027 г. - 0,00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местный бюджет:</w:t>
            </w: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44 686 047,03</w:t>
            </w: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br/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в том числе: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2017 г - 0,00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2018 г –3 059 507,79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2019 г – </w:t>
            </w: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>864 017,38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2020 г – </w:t>
            </w: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>2 129 744,86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>2021 г – 16 394 764,43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>2022 г – 14 039 636,37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>2023 г – 7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 783 176,20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>2024 г – 103 80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0,00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2025 г. – 103 800,00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2026 г. – 103 800,00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2027 г. -  103 800,00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внебюджетные источники: </w:t>
            </w: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29</w:t>
            </w: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 865 609,00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том числе: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2017 г - 0,00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2018 г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2019 г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2020 г – 24 199 590,00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 г – 5 666 019,00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>2022 г – 0,00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>2023 г – 0,00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2024 г -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0,00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2025 г. – 0,00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2026 г. – 0,00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2027 г. -  0,00</w:t>
            </w:r>
          </w:p>
        </w:tc>
      </w:tr>
    </w:tbl>
    <w:p>
      <w:pPr>
        <w:pStyle w:val="Style22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>1.2. Приложение №5 к муниципальной программе «Формирование современной городской среды на территории   Камышловского городского округа на 2017-2027 годы» «План мероприятий по выполнению муниципальной программы «Формирование современной городской среды на территории   Камышловского городского округа на 2017-2027 годы» изложить в новой редакции (прилагается).</w:t>
      </w:r>
    </w:p>
    <w:p>
      <w:pPr>
        <w:pStyle w:val="Style22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ab/>
        <w:t xml:space="preserve">2.Настоящее постановление разместить </w:t>
      </w:r>
      <w:bookmarkStart w:id="6" w:name="__DdeLink__200_4262419495"/>
      <w:r>
        <w:rPr>
          <w:rFonts w:cs="Liberation Serif"/>
          <w:sz w:val="28"/>
          <w:szCs w:val="28"/>
        </w:rPr>
        <w:t>на официальном сайте администрации Камышловского городского округа и опубликовать в газете «Камышловские известия»</w:t>
      </w:r>
      <w:bookmarkEnd w:id="6"/>
      <w:r>
        <w:rPr>
          <w:rFonts w:cs="Liberation Serif"/>
          <w:sz w:val="28"/>
          <w:szCs w:val="28"/>
        </w:rPr>
        <w:t>.</w:t>
      </w:r>
    </w:p>
    <w:p>
      <w:pPr>
        <w:pStyle w:val="Style22"/>
        <w:ind w:left="0" w:right="0" w:firstLine="708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>3. Контроль за выполнением настоящего постановления возложить на первого заместителя главы Камышловского городского округа Мартьянова К.Е.</w:t>
      </w:r>
    </w:p>
    <w:p>
      <w:pPr>
        <w:pStyle w:val="Style22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</w:rPr>
      </w:pPr>
      <w:r>
        <w:rPr/>
      </w:r>
    </w:p>
    <w:p>
      <w:pPr>
        <w:pStyle w:val="Normal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Глава Камышловского городского округа                                      А.В. Половников</w:t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/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1134" w:top="1524" w:footer="0" w:bottom="1134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2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b/>
      <w:szCs w:val="20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-">
    <w:name w:val="Hyperlink"/>
    <w:rPr>
      <w:color w:val="0000FF"/>
      <w:u w:val="single"/>
    </w:rPr>
  </w:style>
  <w:style w:type="character" w:styleId="Style13">
    <w:name w:val="Основной текст Знак"/>
    <w:qFormat/>
    <w:rPr>
      <w:b/>
      <w:sz w:val="24"/>
      <w:lang w:val="ru-RU" w:bidi="ar-SA"/>
    </w:rPr>
  </w:style>
  <w:style w:type="character" w:styleId="Style14">
    <w:name w:val="Основной текст с отступом Знак"/>
    <w:qFormat/>
    <w:rPr>
      <w:sz w:val="28"/>
      <w:lang w:val="ru-RU" w:bidi="ar-SA"/>
    </w:rPr>
  </w:style>
  <w:style w:type="character" w:styleId="Style15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6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</w:rPr>
  </w:style>
  <w:style w:type="character" w:styleId="FakeCharacterStyle">
    <w:name w:val="FakeCharacterStyle"/>
    <w:qFormat/>
    <w:rPr>
      <w:sz w:val="2"/>
      <w:szCs w:val="2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character" w:styleId="CharacterStyle1">
    <w:name w:val="CharacterStyle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2">
    <w:name w:val="CharacterStyle2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4">
    <w:name w:val="CharacterStyle4"/>
    <w:qFormat/>
    <w:rPr>
      <w:rFonts w:ascii="Times New Roman" w:hAnsi="Times New Roman"/>
      <w:b w:val="false"/>
      <w:i w:val="false"/>
      <w:strike w:val="false"/>
      <w:dstrike w:val="false"/>
      <w:color w:val="000000"/>
      <w:sz w:val="19"/>
      <w:szCs w:val="19"/>
      <w:u w:val="none"/>
    </w:rPr>
  </w:style>
  <w:style w:type="character" w:styleId="CharacterStyle5">
    <w:name w:val="CharacterStyle5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6">
    <w:name w:val="CharacterStyle6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9">
    <w:name w:val="CharacterStyle9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0">
    <w:name w:val="CharacterStyle10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1">
    <w:name w:val="CharacterStyle1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suppressAutoHyphens w:val="true"/>
      <w:jc w:val="center"/>
    </w:pPr>
    <w:rPr>
      <w:b/>
      <w:i/>
      <w:sz w:val="28"/>
      <w:szCs w:val="20"/>
    </w:rPr>
  </w:style>
  <w:style w:type="paragraph" w:styleId="Style18">
    <w:name w:val="Body Text"/>
    <w:basedOn w:val="Normal"/>
    <w:pPr>
      <w:suppressAutoHyphens w:val="true"/>
      <w:jc w:val="center"/>
    </w:pPr>
    <w:rPr>
      <w:b/>
      <w:szCs w:val="20"/>
    </w:rPr>
  </w:style>
  <w:style w:type="paragraph" w:styleId="Style19">
    <w:name w:val="List"/>
    <w:basedOn w:val="Style18"/>
    <w:pPr>
      <w:suppressAutoHyphens w:val="true"/>
    </w:pPr>
    <w:rPr>
      <w:rFonts w:cs="Mangal"/>
    </w:rPr>
  </w:style>
  <w:style w:type="paragraph" w:styleId="Style20">
    <w:name w:val="Caption"/>
    <w:basedOn w:val="Normal"/>
    <w:qFormat/>
    <w:pPr>
      <w:suppressAutoHyphens w:val="true"/>
      <w:overflowPunct w:val="true"/>
      <w:jc w:val="center"/>
      <w:textAlignment w:val="auto"/>
    </w:pPr>
    <w:rPr>
      <w:b/>
      <w:bCs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val="ru-RU" w:eastAsia="zh-CN" w:bidi="ar-SA"/>
    </w:rPr>
  </w:style>
  <w:style w:type="paragraph" w:styleId="Style24">
    <w:name w:val="Body Text Indent"/>
    <w:basedOn w:val="Normal"/>
    <w:pPr>
      <w:suppressAutoHyphens w:val="true"/>
      <w:ind w:left="0" w:right="0" w:firstLine="851"/>
      <w:jc w:val="both"/>
    </w:pPr>
    <w:rPr>
      <w:sz w:val="28"/>
      <w:szCs w:val="20"/>
    </w:rPr>
  </w:style>
  <w:style w:type="paragraph" w:styleId="Style25">
    <w:name w:val="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11">
    <w:name w:val="Знак1"/>
    <w:basedOn w:val="Normal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26">
    <w:name w:val="Знак 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21">
    <w:name w:val="Основной текст с отступом 2"/>
    <w:basedOn w:val="Normal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27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Style28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>
      <w:rFonts w:eastAsia="Calibri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eastAsia="zh-CN" w:bidi="ar-SA"/>
    </w:rPr>
  </w:style>
  <w:style w:type="paragraph" w:styleId="Style29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0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1">
    <w:name w:val="Заголовок таблицы"/>
    <w:basedOn w:val="Style30"/>
    <w:qFormat/>
    <w:pPr>
      <w:suppressAutoHyphens w:val="true"/>
      <w:jc w:val="center"/>
    </w:pPr>
    <w:rPr>
      <w:b/>
      <w:bCs/>
    </w:rPr>
  </w:style>
  <w:style w:type="paragraph" w:styleId="12">
    <w:name w:val="Обычная таблица1"/>
    <w:qFormat/>
    <w:pPr>
      <w:keepNext w:val="false"/>
      <w:keepLines w:val="false"/>
      <w:pageBreakBefore w:val="false"/>
      <w:widowControl/>
      <w:suppressAutoHyphens w:val="true"/>
      <w:overflowPunct w:val="false"/>
      <w:bidi w:val="0"/>
      <w:snapToGrid w:val="true"/>
      <w:spacing w:lineRule="auto" w:line="240" w:before="0" w:after="160"/>
      <w:jc w:val="left"/>
      <w:textAlignment w:val="auto"/>
    </w:pPr>
    <w:rPr>
      <w:rFonts w:ascii="Calibri" w:hAnsi="Calibri" w:eastAsia="Cambria Math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suppressAutoHyphens w:val="false"/>
      <w:overflowPunct w:val="false"/>
      <w:bidi w:val="0"/>
      <w:snapToGrid w:val="true"/>
      <w:spacing w:lineRule="auto" w:line="240" w:before="0" w:after="0"/>
      <w:jc w:val="left"/>
      <w:textAlignment w:val="auto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ParagraphStyle1">
    <w:name w:val="ParagraphStyle1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2">
    <w:name w:val="ParagraphStyle2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4">
    <w:name w:val="ParagraphStyle4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5">
    <w:name w:val="ParagraphStyle5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6">
    <w:name w:val="ParagraphStyle6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9">
    <w:name w:val="ParagraphStyle9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0">
    <w:name w:val="ParagraphStyle10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115" w:right="115" w:hanging="0"/>
      <w:jc w:val="both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1">
    <w:name w:val="ParagraphStyle11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Style3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3">
    <w:name w:val="Колонтитул"/>
    <w:basedOn w:val="Normal"/>
    <w:qFormat/>
    <w:pPr/>
    <w:rPr/>
  </w:style>
  <w:style w:type="paragraph" w:styleId="Style34">
    <w:name w:val="Header"/>
    <w:basedOn w:val="Style32"/>
    <w:pPr>
      <w:suppressLineNumbers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35">
    <w:name w:val="Title"/>
    <w:basedOn w:val="Normal"/>
    <w:qFormat/>
    <w:pPr>
      <w:overflowPunct w:val="true"/>
      <w:jc w:val="center"/>
      <w:textAlignment w:val="auto"/>
    </w:pPr>
    <w:rPr>
      <w:rFonts w:ascii="Arial" w:hAnsi="Arial"/>
      <w:b/>
      <w:i/>
      <w:sz w:val="32"/>
      <w:lang w:val="x-none" w:eastAsia="x-non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461</TotalTime>
  <Application>LibreOffice/7.5.6.2$Linux_X86_64 LibreOffice_project/50$Build-2</Application>
  <AppVersion>15.0000</AppVersion>
  <Pages>3</Pages>
  <Words>643</Words>
  <Characters>3577</Characters>
  <CharactersWithSpaces>4354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2021-06-10T11:42:00Z</dcterms:created>
  <dc:creator>Меньшенина Татьяна Борисовна</dc:creator>
  <dc:description/>
  <dc:language>ru-RU</dc:language>
  <cp:lastModifiedBy/>
  <cp:lastPrinted>2024-01-29T16:11:45Z</cp:lastPrinted>
  <dcterms:modified xsi:type="dcterms:W3CDTF">2024-01-29T16:23:08Z</dcterms:modified>
  <cp:revision>44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