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bidi w:val="0"/>
        <w:ind w:left="0" w:right="0" w:hanging="0"/>
        <w:jc w:val="center"/>
        <w:rPr/>
      </w:pPr>
      <w:r>
        <w:rPr>
          <w:rFonts w:eastAsia="Liberation Serif;Times New Roman" w:cs="Liberation Serif;Times New Roman" w:ascii="Liberation Serif;Times New Roman" w:hAnsi="Liberation Serif;Times New Roman"/>
          <w:sz w:val="28"/>
          <w:szCs w:val="28"/>
        </w:rPr>
        <w:t xml:space="preserve"> 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drawing>
          <wp:inline distT="0" distB="0" distL="0" distR="0">
            <wp:extent cx="484505" cy="74866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23" t="-209" r="-323" b="-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6"/>
        <w:bidi w:val="0"/>
        <w:spacing w:before="0" w:after="0"/>
        <w:jc w:val="center"/>
        <w:rPr/>
      </w:pPr>
      <w:r>
        <w:rPr>
          <w:rStyle w:val="Style13"/>
          <w:rFonts w:cs="Liberation Serif;Times New Roman" w:ascii="Liberation Serif;Times New Roman" w:hAnsi="Liberation Serif;Times New Roman"/>
          <w:b/>
          <w:i w:val="false"/>
          <w:iCs w:val="false"/>
          <w:sz w:val="28"/>
          <w:szCs w:val="28"/>
        </w:rPr>
        <w:t>АДМИНИСТРАЦИЯ КАМЫШЛОВСКОГО ГОРОДСКОГО ОКРУГА</w:t>
      </w:r>
    </w:p>
    <w:p>
      <w:pPr>
        <w:pStyle w:val="Style16"/>
        <w:bidi w:val="0"/>
        <w:spacing w:before="0" w:after="0"/>
        <w:jc w:val="center"/>
        <w:rPr>
          <w:rFonts w:ascii="Liberation Serif;Times New Roman" w:hAnsi="Liberation Serif;Times New Roman" w:cs="Liberation Serif;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i w:val="false"/>
          <w:iCs w:val="false"/>
          <w:sz w:val="28"/>
          <w:szCs w:val="28"/>
        </w:rPr>
        <w:t>П О С Т А Н О В Л Е Н И Е</w:t>
      </w:r>
    </w:p>
    <w:p>
      <w:pPr>
        <w:pStyle w:val="Style16"/>
        <w:pBdr>
          <w:top w:val="double" w:sz="12" w:space="1" w:color="000000"/>
        </w:pBdr>
        <w:bidi w:val="0"/>
        <w:spacing w:before="0" w:after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1"/>
        <w:shd w:fill="FFFFFF" w:val="clear"/>
        <w:tabs>
          <w:tab w:val="clear" w:pos="708"/>
          <w:tab w:val="left" w:pos="0" w:leader="none"/>
        </w:tabs>
        <w:ind w:left="0" w:hanging="0"/>
        <w:jc w:val="both"/>
        <w:textAlignment w:val="baseline"/>
        <w:rPr>
          <w:rFonts w:ascii="Liberation Serif" w:hAnsi="Liberation Serif"/>
          <w:szCs w:val="28"/>
        </w:rPr>
      </w:pPr>
      <w:r>
        <w:rPr>
          <w:rStyle w:val="Style13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sz w:val="28"/>
          <w:szCs w:val="28"/>
          <w:lang w:val="ru-RU" w:eastAsia="ru-RU"/>
        </w:rPr>
        <w:t xml:space="preserve">от </w:t>
      </w:r>
      <w:r>
        <w:rPr>
          <w:rStyle w:val="Style13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sz w:val="28"/>
          <w:szCs w:val="28"/>
          <w:lang w:val="ru-RU" w:eastAsia="ru-RU"/>
        </w:rPr>
        <w:t>10</w:t>
      </w:r>
      <w:r>
        <w:rPr>
          <w:rStyle w:val="Style13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sz w:val="28"/>
          <w:szCs w:val="28"/>
          <w:lang w:val="ru-RU" w:eastAsia="ru-RU"/>
        </w:rPr>
        <w:t>.02.2022 N 10</w:t>
      </w:r>
      <w:r>
        <w:rPr>
          <w:rStyle w:val="Style13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sz w:val="28"/>
          <w:szCs w:val="28"/>
          <w:lang w:val="ru-RU" w:eastAsia="ru-RU"/>
        </w:rPr>
        <w:t>9</w:t>
      </w:r>
      <w:r>
        <w:rPr>
          <w:rStyle w:val="Style13"/>
          <w:rFonts w:eastAsia="Times New Roman" w:cs="Liberation Serif;Times New Roman" w:ascii="Liberation Serif;Times New Roman" w:hAnsi="Liberation Serif;Times New Roman"/>
          <w:b w:val="false"/>
          <w:bCs w:val="false"/>
          <w:i w:val="false"/>
          <w:iCs w:val="false"/>
          <w:color w:val="000000"/>
          <w:sz w:val="28"/>
          <w:szCs w:val="28"/>
          <w:lang w:val="ru-RU" w:eastAsia="ru-RU"/>
        </w:rPr>
        <w:t xml:space="preserve">                     </w:t>
      </w:r>
      <w:r>
        <w:rPr>
          <w:rFonts w:ascii="Liberation Serif" w:hAnsi="Liberation Serif"/>
          <w:szCs w:val="28"/>
        </w:rPr>
        <w:t xml:space="preserve">                              </w:t>
      </w:r>
    </w:p>
    <w:p>
      <w:pPr>
        <w:pStyle w:val="Style16"/>
        <w:shd w:fill="FFFFFF" w:val="clear"/>
        <w:jc w:val="center"/>
        <w:textAlignment w:val="baseline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Style16"/>
        <w:shd w:fill="FFFFFF" w:val="clear"/>
        <w:jc w:val="center"/>
        <w:textAlignment w:val="baseline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О внесении изменений </w:t>
      </w:r>
      <w:r>
        <w:rPr>
          <w:rFonts w:ascii="Liberation Serif" w:hAnsi="Liberation Serif"/>
          <w:b/>
          <w:bCs/>
          <w:sz w:val="28"/>
          <w:szCs w:val="28"/>
        </w:rPr>
        <w:t xml:space="preserve">в муниципальную программу </w:t>
      </w:r>
    </w:p>
    <w:p>
      <w:pPr>
        <w:pStyle w:val="Style16"/>
        <w:shd w:fill="FFFFFF" w:val="clear"/>
        <w:jc w:val="center"/>
        <w:textAlignment w:val="baseline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«Повышение эффективности управления муниципальной собственностью Камышловского городского округа на 2021-2027 годы», </w:t>
      </w:r>
    </w:p>
    <w:p>
      <w:pPr>
        <w:pStyle w:val="Style16"/>
        <w:shd w:fill="FFFFFF" w:val="clear"/>
        <w:jc w:val="center"/>
        <w:textAlignment w:val="baseline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утвержденную постановлением главы Камышловского городского округа от 16.11.2018г №997</w:t>
      </w:r>
    </w:p>
    <w:p>
      <w:pPr>
        <w:pStyle w:val="1"/>
        <w:shd w:fill="FFFFFF" w:val="clear"/>
        <w:tabs>
          <w:tab w:val="clear" w:pos="708"/>
          <w:tab w:val="left" w:pos="0" w:leader="none"/>
        </w:tabs>
        <w:ind w:left="0" w:hanging="0"/>
        <w:jc w:val="both"/>
        <w:textAlignment w:val="baseline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1"/>
        <w:keepNext w:val="true"/>
        <w:shd w:fill="FFFFFF" w:val="clear"/>
        <w:tabs>
          <w:tab w:val="clear" w:pos="708"/>
          <w:tab w:val="left" w:pos="0" w:leader="none"/>
        </w:tabs>
        <w:suppressAutoHyphens w:val="true"/>
        <w:spacing w:lineRule="auto" w:line="240" w:before="0" w:after="0"/>
        <w:ind w:left="0" w:right="0" w:firstLine="737"/>
        <w:jc w:val="both"/>
        <w:textAlignment w:val="baseline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В соответствии с Федеральным законом от 06.10.2003г  №131 «Об общих принципах организации местного самоуправления в Российской Федерации, со статьей 179 Бюджетного кодекса Российской Федерации», с решением Думы Камышловского городского округа от 16.12.2021 №45 «О бюджете Камышловского городского округа на 2022год и плановый период 2023 и 2024 годов», с постановлением администрации Камышловского городского округа  от 24.09.2020г №632 «О внесении изменений в Порядок формирования и реализации муниципальных программ, утвержденный постановлением главы Камышловского городского округа от 04.10.2013г. № 1786», руководствуясь Уставом Камышловского городского округа, администрация Камышловского городского округа</w:t>
      </w:r>
    </w:p>
    <w:p>
      <w:pPr>
        <w:pStyle w:val="Style16"/>
        <w:shd w:fill="FFFFFF" w:val="clear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Style16"/>
        <w:shd w:fill="FFFFFF" w:val="clear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Внести в муниципальную программу «Повышение эффективности управления муниципальной собственностью Камышловского городского округа на 2021-2027 годы», утвержденную постановлением главы Камышловского городского округа от 16.11.2018г №997 «Об утверждении муниципальной программы «Повышение эффективности управления муниципальной собственностью Камышловского городского округа на 2021-2027годы» с изменениями, внесенными постановлениями от 10.02.2021г №108; от 21.04.2021г №280; от 19.05.2021г №334; от 07.06.2021 №380; от 23.09.2021 №689; от 23.11.2021 №858 (далее программа) следующие изменения:</w:t>
      </w:r>
    </w:p>
    <w:p>
      <w:pPr>
        <w:pStyle w:val="Style16"/>
        <w:shd w:fill="FFFFFF" w:val="clear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1.1. в паспорте Программы:</w:t>
      </w:r>
    </w:p>
    <w:p>
      <w:pPr>
        <w:pStyle w:val="Style16"/>
        <w:shd w:fill="FFFFFF" w:val="clear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строку «источники и объемы финансирования муниципальной программы по годам» изложить в следующей редакции:</w:t>
      </w:r>
    </w:p>
    <w:p>
      <w:pPr>
        <w:pStyle w:val="Style16"/>
        <w:shd w:fill="FFFFFF" w:val="clear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бюджет Камышловского городского округа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>
        <w:rPr>
          <w:rFonts w:ascii="Liberation Serif" w:hAnsi="Liberation Serif"/>
          <w:sz w:val="28"/>
          <w:szCs w:val="28"/>
        </w:rPr>
        <w:t>2021год – 2519447,42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>
        <w:rPr>
          <w:rFonts w:ascii="Liberation Serif" w:hAnsi="Liberation Serif"/>
          <w:sz w:val="28"/>
          <w:szCs w:val="28"/>
        </w:rPr>
        <w:t>2022год – 2410000,00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>
        <w:rPr>
          <w:rFonts w:ascii="Liberation Serif" w:hAnsi="Liberation Serif"/>
          <w:sz w:val="28"/>
          <w:szCs w:val="28"/>
        </w:rPr>
        <w:t>2023год – 2429129,00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>
        <w:rPr>
          <w:rFonts w:ascii="Liberation Serif" w:hAnsi="Liberation Serif"/>
          <w:sz w:val="28"/>
          <w:szCs w:val="28"/>
        </w:rPr>
        <w:t>2024год – 2448639,00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>
        <w:rPr>
          <w:rFonts w:ascii="Liberation Serif" w:hAnsi="Liberation Serif"/>
          <w:sz w:val="28"/>
          <w:szCs w:val="28"/>
        </w:rPr>
        <w:t>2025год – 3000000,00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>
        <w:rPr>
          <w:rFonts w:ascii="Liberation Serif" w:hAnsi="Liberation Serif"/>
          <w:sz w:val="28"/>
          <w:szCs w:val="28"/>
        </w:rPr>
        <w:t>2026год – 3000000,00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>
        <w:rPr>
          <w:rFonts w:ascii="Liberation Serif" w:hAnsi="Liberation Serif"/>
          <w:sz w:val="28"/>
          <w:szCs w:val="28"/>
        </w:rPr>
        <w:t>2027год – 3100000,00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1.2 в целевых показателях «снос ветхого недвижимого имущества» на 2022 год показатель 10 заменить на 0, на 2023 год показатель 8 заменить на 0, на 2024 год показатель 8 заменить на 0.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suppressAutoHyphens w:val="true"/>
        <w:autoSpaceDE w:val="false"/>
        <w:spacing w:lineRule="auto" w:line="240" w:before="0" w:after="0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1.3 в мероприятии «инвентаризация и оценка муниципального имущества» на 2022 год сумму 500000,00руб. заменить на сумму 700000,00руб.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suppressAutoHyphens w:val="true"/>
        <w:autoSpaceDE w:val="false"/>
        <w:spacing w:lineRule="auto" w:line="240" w:before="0" w:after="0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1.3.1 в мероприятии «инвентаризация и оценка муниципального имущества» на 2023 год сумму 500000,00руб. заменить на сумму 700000,00руб.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suppressAutoHyphens w:val="true"/>
        <w:autoSpaceDE w:val="false"/>
        <w:spacing w:lineRule="auto" w:line="240" w:before="0" w:after="0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1.3.2 в мероприятии «инвентаризация и оценка муниципального имущества» на 2024 год сумму 1000000,00руб. заменить на сумму 700000,00руб.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suppressAutoHyphens w:val="true"/>
        <w:autoSpaceDE w:val="false"/>
        <w:spacing w:lineRule="auto" w:line="240" w:before="0" w:after="0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1.4 в мероприятии «межевание земельных участков» в 2022году сумму 500000,00руб. заменить на сумму 300000,00руб.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suppressAutoHyphens w:val="true"/>
        <w:autoSpaceDE w:val="false"/>
        <w:spacing w:lineRule="auto" w:line="240" w:before="0" w:after="0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1.4.1 в мероприятии «межевание земельных участков» в 2023году сумму 500000,00руб. заменить на сумму 300000,00руб.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suppressAutoHyphens w:val="true"/>
        <w:autoSpaceDE w:val="false"/>
        <w:spacing w:lineRule="auto" w:line="240" w:before="0" w:after="0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1.4.2 в мероприятии «межевание земельных участков» в 2024году сумму 350000,00руб. заменить на сумму 300000,00руб.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suppressAutoHyphens w:val="true"/>
        <w:autoSpaceDE w:val="false"/>
        <w:spacing w:lineRule="auto" w:line="240" w:before="0" w:after="0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1.5 в мероприятии «прочие расходы на управление и содержание программы» в 2022году сумму 1374300,00руб. заменить на сумму 1410000,00руб.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suppressAutoHyphens w:val="true"/>
        <w:autoSpaceDE w:val="false"/>
        <w:spacing w:lineRule="auto" w:line="240" w:before="0" w:after="0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1.5.1 в мероприятии «прочие расходы на управление и содержание программы» в 2023году сумму 1399330,00руб. заменить на сумму 1429129,00руб.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suppressAutoHyphens w:val="true"/>
        <w:autoSpaceDE w:val="false"/>
        <w:spacing w:lineRule="auto" w:line="240" w:before="0" w:after="0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1.5.2 в мероприятии «прочие расходы на управление и содержание программы» в 2024году сумму 1200000,00руб. заменить на сумму 1448639,00руб.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suppressAutoHyphens w:val="true"/>
        <w:autoSpaceDE w:val="false"/>
        <w:spacing w:lineRule="auto" w:line="240" w:before="0" w:after="0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1.5 в мероприятии «снос ветхого недвижимого имущества» на 2024 год сумму450000,00руб. заменить на 0.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suppressAutoHyphens w:val="true"/>
        <w:autoSpaceDE w:val="false"/>
        <w:spacing w:lineRule="auto" w:line="240" w:before="0" w:after="0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Целевые показатели, план мероприятий по выполнению муниципальной программы «Повышение эффективности управления муниципальной собственностью Камышловского городского округа на 2021-2027 годы» изложить в новой редакции (прилагается).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Настоящее постановление опубликовать в газете «Камышловские известия», на официальном сайте Камышловского городского округа.</w:t>
      </w:r>
    </w:p>
    <w:p>
      <w:pPr>
        <w:pStyle w:val="Style16"/>
        <w:widowControl w:val="false"/>
        <w:shd w:fill="FFFFFF" w:val="clear"/>
        <w:tabs>
          <w:tab w:val="clear" w:pos="708"/>
          <w:tab w:val="left" w:pos="514" w:leader="none"/>
          <w:tab w:val="left" w:pos="859" w:leader="none"/>
        </w:tabs>
        <w:suppressAutoHyphens w:val="true"/>
        <w:autoSpaceDE w:val="false"/>
        <w:spacing w:lineRule="auto" w:line="240" w:before="0" w:after="0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Контроль за</w:t>
        <w:tab/>
        <w:t>исполнением настоящего постановления возложить на председателя комитета по управлению имуществом и земельным ресурсам администрации Камышловского городского округа Михайлову Е.В.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6"/>
        <w:rPr/>
      </w:pPr>
      <w:r>
        <w:rPr/>
      </w:r>
    </w:p>
    <w:p>
      <w:pPr>
        <w:pStyle w:val="Style1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Style1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  <w:r>
        <w:br w:type="page"/>
      </w:r>
    </w:p>
    <w:p>
      <w:pPr>
        <w:pStyle w:val="Style16"/>
        <w:widowControl w:val="false"/>
        <w:suppressAutoHyphens w:val="true"/>
        <w:autoSpaceDE w:val="false"/>
        <w:spacing w:lineRule="auto" w:line="240" w:before="0" w:after="0"/>
        <w:ind w:left="5839" w:right="0" w:hanging="0"/>
        <w:jc w:val="left"/>
        <w:rPr>
          <w:rFonts w:ascii="Liberation Serif" w:hAnsi="Liberation Serif" w:cs="Times New Roman CYR"/>
          <w:b/>
          <w:b/>
          <w:sz w:val="24"/>
          <w:szCs w:val="24"/>
        </w:rPr>
      </w:pPr>
      <w:r>
        <w:rPr>
          <w:rFonts w:cs="Times New Roman CYR" w:ascii="Liberation Serif" w:hAnsi="Liberation Serif"/>
          <w:b/>
          <w:sz w:val="24"/>
          <w:szCs w:val="24"/>
        </w:rPr>
        <w:t>Приложение №1</w:t>
      </w:r>
    </w:p>
    <w:p>
      <w:pPr>
        <w:pStyle w:val="Style16"/>
        <w:suppressAutoHyphens w:val="true"/>
        <w:autoSpaceDE w:val="false"/>
        <w:spacing w:lineRule="auto" w:line="240" w:before="0" w:after="0"/>
        <w:ind w:left="5839" w:right="0" w:hanging="0"/>
        <w:jc w:val="left"/>
        <w:rPr/>
      </w:pPr>
      <w:r>
        <w:rPr>
          <w:rFonts w:ascii="Liberation Serif" w:hAnsi="Liberation Serif"/>
          <w:b w:val="false"/>
          <w:bCs w:val="false"/>
          <w:sz w:val="24"/>
          <w:szCs w:val="24"/>
        </w:rPr>
        <w:t xml:space="preserve">к постановлению </w:t>
      </w:r>
      <w:r>
        <w:rPr>
          <w:rFonts w:eastAsia="Times New Roman" w:cs="Times New Roman" w:ascii="Liberation Serif" w:hAnsi="Liberation Serif"/>
          <w:b w:val="false"/>
          <w:bCs w:val="false"/>
          <w:sz w:val="24"/>
          <w:szCs w:val="24"/>
          <w:lang w:eastAsia="ru-RU"/>
        </w:rPr>
        <w:t>администрации</w:t>
      </w:r>
    </w:p>
    <w:p>
      <w:pPr>
        <w:pStyle w:val="Style16"/>
        <w:suppressAutoHyphens w:val="true"/>
        <w:autoSpaceDE w:val="false"/>
        <w:spacing w:lineRule="auto" w:line="240" w:before="0" w:after="0"/>
        <w:ind w:left="5839" w:right="0" w:hanging="0"/>
        <w:jc w:val="left"/>
        <w:rPr/>
      </w:pPr>
      <w:r>
        <w:rPr>
          <w:rFonts w:ascii="Liberation Serif" w:hAnsi="Liberation Serif"/>
          <w:b w:val="false"/>
          <w:bCs w:val="false"/>
          <w:sz w:val="24"/>
          <w:szCs w:val="24"/>
        </w:rPr>
        <w:t>Камышловского городского</w:t>
      </w:r>
      <w:r>
        <w:rPr>
          <w:rStyle w:val="Style13"/>
          <w:rFonts w:ascii="Liberation Serif" w:hAnsi="Liberation Serif"/>
          <w:b w:val="false"/>
          <w:bCs w:val="false"/>
          <w:sz w:val="24"/>
          <w:szCs w:val="24"/>
        </w:rPr>
        <w:t xml:space="preserve"> округа </w:t>
      </w:r>
    </w:p>
    <w:p>
      <w:pPr>
        <w:pStyle w:val="Style16"/>
        <w:suppressAutoHyphens w:val="true"/>
        <w:autoSpaceDE w:val="false"/>
        <w:spacing w:lineRule="auto" w:line="240" w:before="0" w:after="0"/>
        <w:ind w:left="5839" w:right="0" w:hanging="0"/>
        <w:jc w:val="left"/>
        <w:rPr/>
      </w:pPr>
      <w:r>
        <w:rPr>
          <w:rStyle w:val="Style13"/>
          <w:rFonts w:ascii="Liberation Serif" w:hAnsi="Liberation Serif"/>
          <w:b w:val="false"/>
          <w:bCs w:val="false"/>
          <w:sz w:val="24"/>
          <w:szCs w:val="24"/>
        </w:rPr>
        <w:t xml:space="preserve">от </w:t>
      </w:r>
      <w:r>
        <w:rPr>
          <w:rStyle w:val="Style13"/>
          <w:rFonts w:ascii="Liberation Serif" w:hAnsi="Liberation Serif"/>
          <w:b w:val="false"/>
          <w:bCs w:val="false"/>
          <w:sz w:val="24"/>
          <w:szCs w:val="24"/>
        </w:rPr>
        <w:t>10</w:t>
      </w:r>
      <w:r>
        <w:rPr>
          <w:rStyle w:val="Style13"/>
          <w:rFonts w:ascii="Liberation Serif" w:hAnsi="Liberation Serif"/>
          <w:b w:val="false"/>
          <w:bCs w:val="false"/>
          <w:sz w:val="24"/>
          <w:szCs w:val="24"/>
        </w:rPr>
        <w:t>.</w:t>
      </w:r>
      <w:r>
        <w:rPr>
          <w:rStyle w:val="Style13"/>
          <w:rFonts w:eastAsia="Times New Roman" w:cs="Times New Roman" w:ascii="Liberation Serif" w:hAnsi="Liberation Serif"/>
          <w:b w:val="false"/>
          <w:bCs w:val="false"/>
          <w:sz w:val="24"/>
          <w:szCs w:val="24"/>
          <w:lang w:eastAsia="ru-RU"/>
        </w:rPr>
        <w:t>02</w:t>
      </w:r>
      <w:r>
        <w:rPr>
          <w:rStyle w:val="Style13"/>
          <w:rFonts w:ascii="Liberation Serif" w:hAnsi="Liberation Serif"/>
          <w:b w:val="false"/>
          <w:bCs w:val="false"/>
          <w:sz w:val="24"/>
          <w:szCs w:val="24"/>
        </w:rPr>
        <w:t>.20</w:t>
      </w:r>
      <w:r>
        <w:rPr>
          <w:rStyle w:val="Style13"/>
          <w:rFonts w:ascii="Liberation Serif" w:hAnsi="Liberation Serif"/>
          <w:b w:val="false"/>
          <w:bCs w:val="false"/>
          <w:sz w:val="24"/>
          <w:szCs w:val="24"/>
        </w:rPr>
        <w:t>22</w:t>
      </w:r>
      <w:r>
        <w:rPr>
          <w:rStyle w:val="Style13"/>
          <w:rFonts w:ascii="Liberation Serif" w:hAnsi="Liberation Serif"/>
          <w:b w:val="false"/>
          <w:bCs w:val="false"/>
          <w:sz w:val="24"/>
          <w:szCs w:val="24"/>
        </w:rPr>
        <w:t xml:space="preserve"> № </w:t>
      </w:r>
      <w:r>
        <w:rPr>
          <w:rStyle w:val="Style13"/>
          <w:rFonts w:eastAsia="Times New Roman" w:cs="Times New Roman" w:ascii="Liberation Serif" w:hAnsi="Liberation Serif"/>
          <w:b w:val="false"/>
          <w:bCs w:val="false"/>
          <w:sz w:val="24"/>
          <w:szCs w:val="24"/>
          <w:lang w:eastAsia="ru-RU"/>
        </w:rPr>
        <w:t>109</w:t>
      </w:r>
      <w:r>
        <w:rPr>
          <w:rStyle w:val="Style13"/>
          <w:rFonts w:ascii="Liberation Serif" w:hAnsi="Liberation Serif"/>
          <w:b w:val="false"/>
          <w:bCs w:val="false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Style16"/>
        <w:widowControl w:val="false"/>
        <w:autoSpaceDE w:val="false"/>
        <w:spacing w:lineRule="exact" w:line="200"/>
        <w:jc w:val="right"/>
        <w:rPr>
          <w:rFonts w:ascii="Liberation Serif" w:hAnsi="Liberation Serif" w:cs="Times New Roman CYR"/>
          <w:b w:val="false"/>
          <w:b w:val="false"/>
          <w:bCs w:val="false"/>
          <w:sz w:val="24"/>
          <w:szCs w:val="24"/>
        </w:rPr>
      </w:pPr>
      <w:r>
        <w:rPr>
          <w:rFonts w:cs="Times New Roman CYR" w:ascii="Liberation Serif" w:hAnsi="Liberation Serif"/>
          <w:b w:val="false"/>
          <w:bCs w:val="false"/>
          <w:sz w:val="24"/>
          <w:szCs w:val="24"/>
        </w:rPr>
      </w:r>
    </w:p>
    <w:p>
      <w:pPr>
        <w:pStyle w:val="Style16"/>
        <w:widowControl w:val="false"/>
        <w:autoSpaceDE w:val="false"/>
        <w:spacing w:before="0" w:after="0"/>
        <w:jc w:val="center"/>
        <w:rPr>
          <w:rFonts w:ascii="Liberation Serif" w:hAnsi="Liberation Serif" w:cs="Times New Roman CYR"/>
          <w:b/>
          <w:b/>
          <w:bCs/>
          <w:sz w:val="24"/>
          <w:szCs w:val="24"/>
        </w:rPr>
      </w:pPr>
      <w:r>
        <w:rPr>
          <w:rFonts w:cs="Times New Roman CYR" w:ascii="Liberation Serif" w:hAnsi="Liberation Serif"/>
          <w:b/>
          <w:bCs/>
          <w:sz w:val="24"/>
          <w:szCs w:val="24"/>
        </w:rPr>
        <w:t>Целевые показатели реализации муниципальной программы</w:t>
      </w:r>
    </w:p>
    <w:p>
      <w:pPr>
        <w:pStyle w:val="Style16"/>
        <w:autoSpaceDE w:val="false"/>
        <w:spacing w:before="0" w:after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«Повышение эффективности управления муниципальной собственностью </w:t>
      </w:r>
    </w:p>
    <w:p>
      <w:pPr>
        <w:pStyle w:val="Style16"/>
        <w:autoSpaceDE w:val="false"/>
        <w:spacing w:before="0" w:after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Камышловского городского округа на 2021-2027 годы»</w:t>
      </w:r>
    </w:p>
    <w:tbl>
      <w:tblPr>
        <w:tblW w:w="10179" w:type="dxa"/>
        <w:jc w:val="left"/>
        <w:tblInd w:w="-324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3858"/>
        <w:gridCol w:w="709"/>
        <w:gridCol w:w="709"/>
        <w:gridCol w:w="709"/>
        <w:gridCol w:w="708"/>
        <w:gridCol w:w="709"/>
        <w:gridCol w:w="709"/>
        <w:gridCol w:w="709"/>
        <w:gridCol w:w="820"/>
      </w:tblGrid>
      <w:tr>
        <w:trPr>
          <w:trHeight w:val="1" w:hRule="atLeast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/>
            </w:pPr>
            <w:r>
              <w:rPr>
                <w:rStyle w:val="Style13"/>
                <w:rFonts w:ascii="Liberation Serif" w:hAnsi="Liberation Serif"/>
                <w:b/>
                <w:bCs/>
                <w:sz w:val="24"/>
                <w:szCs w:val="24"/>
                <w:lang w:val="en-US"/>
              </w:rPr>
              <w:t xml:space="preserve">№ </w:t>
            </w:r>
            <w:r>
              <w:rPr>
                <w:rStyle w:val="Style13"/>
                <w:rFonts w:cs="Times New Roman CYR" w:ascii="Liberation Serif" w:hAnsi="Liberation Serif"/>
                <w:b/>
                <w:bCs/>
                <w:sz w:val="24"/>
                <w:szCs w:val="24"/>
              </w:rPr>
              <w:t>строки</w:t>
            </w:r>
          </w:p>
        </w:tc>
        <w:tc>
          <w:tcPr>
            <w:tcW w:w="3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/>
            </w:pPr>
            <w:r>
              <w:rPr>
                <w:rStyle w:val="Style13"/>
                <w:rFonts w:cs="Times New Roman CYR" w:ascii="Liberation Serif" w:hAnsi="Liberation Serif"/>
                <w:b/>
                <w:bCs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/>
            </w:pPr>
            <w:r>
              <w:rPr>
                <w:rStyle w:val="Style13"/>
                <w:rFonts w:cs="Times New Roman CYR" w:ascii="Liberation Serif" w:hAnsi="Liberation Serif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50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</w:r>
          </w:p>
          <w:p>
            <w:pPr>
              <w:pStyle w:val="Style16"/>
              <w:autoSpaceDE w:val="false"/>
              <w:jc w:val="center"/>
              <w:rPr/>
            </w:pPr>
            <w:r>
              <w:rPr>
                <w:rStyle w:val="Style13"/>
                <w:rFonts w:cs="Times New Roman CYR" w:ascii="Liberation Serif" w:hAnsi="Liberation Serif"/>
                <w:b/>
                <w:bCs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</w:tr>
      <w:tr>
        <w:trPr>
          <w:trHeight w:val="1" w:hRule="atLeast"/>
        </w:trPr>
        <w:tc>
          <w:tcPr>
            <w:tcW w:w="5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2022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2025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2026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2027</w:t>
            </w:r>
          </w:p>
        </w:tc>
      </w:tr>
      <w:tr>
        <w:trPr>
          <w:trHeight w:val="1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/>
            </w:pPr>
            <w:r>
              <w:rPr>
                <w:rStyle w:val="Style13"/>
                <w:rFonts w:ascii="Liberation Serif" w:hAnsi="Liberation Serif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/>
            </w:pPr>
            <w:r>
              <w:rPr>
                <w:rStyle w:val="Style13"/>
                <w:rFonts w:ascii="Liberation Serif" w:hAnsi="Liberation Serif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/>
            </w:pPr>
            <w:r>
              <w:rPr>
                <w:rStyle w:val="Style13"/>
                <w:rFonts w:ascii="Liberation Serif" w:hAnsi="Liberation Serif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/>
            </w:pPr>
            <w:r>
              <w:rPr>
                <w:rStyle w:val="Style13"/>
                <w:rFonts w:ascii="Liberation Serif" w:hAnsi="Liberation Serif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/>
            </w:pPr>
            <w:r>
              <w:rPr>
                <w:rStyle w:val="Style13"/>
                <w:rFonts w:ascii="Liberation Serif" w:hAnsi="Liberation Serif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/>
            </w:pPr>
            <w:r>
              <w:rPr>
                <w:rStyle w:val="Style13"/>
                <w:rFonts w:ascii="Liberation Serif" w:hAnsi="Liberation Serif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/>
            </w:pPr>
            <w:r>
              <w:rPr>
                <w:rStyle w:val="Style13"/>
                <w:rFonts w:ascii="Liberation Serif" w:hAnsi="Liberation Serif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/>
            </w:pPr>
            <w:r>
              <w:rPr>
                <w:rStyle w:val="Style13"/>
                <w:rFonts w:ascii="Liberation Serif" w:hAnsi="Liberation Serif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/>
            </w:pPr>
            <w:r>
              <w:rPr>
                <w:rStyle w:val="Style13"/>
                <w:rFonts w:ascii="Liberation Serif" w:hAnsi="Liberation Serif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/>
            </w:pPr>
            <w:r>
              <w:rPr>
                <w:rStyle w:val="Style13"/>
                <w:rFonts w:ascii="Liberation Serif" w:hAnsi="Liberation Serif"/>
                <w:b/>
                <w:bCs/>
                <w:sz w:val="24"/>
                <w:szCs w:val="24"/>
                <w:lang w:val="en-US"/>
              </w:rPr>
              <w:t>10</w:t>
            </w:r>
          </w:p>
        </w:tc>
      </w:tr>
      <w:tr>
        <w:trPr>
          <w:trHeight w:val="1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>
              <w:rPr>
                <w:rFonts w:cs="Calibri"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both"/>
              <w:rPr/>
            </w:pPr>
            <w:r>
              <w:rPr>
                <w:rStyle w:val="Style13"/>
                <w:rFonts w:cs="Times New Roman CYR" w:ascii="Liberation Serif" w:hAnsi="Liberation Serif"/>
                <w:sz w:val="24"/>
                <w:szCs w:val="24"/>
              </w:rPr>
              <w:t>Инвентаризация имущества (количество объектов)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</w:tr>
      <w:tr>
        <w:trPr>
          <w:trHeight w:val="1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both"/>
              <w:rPr>
                <w:rFonts w:ascii="Liberation Serif" w:hAnsi="Liberation Serif" w:cs="Times New Roman CYR"/>
                <w:sz w:val="24"/>
                <w:szCs w:val="24"/>
              </w:rPr>
            </w:pPr>
            <w:r>
              <w:rPr>
                <w:rFonts w:cs="Times New Roman CYR" w:ascii="Liberation Serif" w:hAnsi="Liberation Serif"/>
                <w:sz w:val="24"/>
                <w:szCs w:val="24"/>
              </w:rPr>
              <w:t>оценка имущества (количество объектов)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</w:tr>
      <w:tr>
        <w:trPr>
          <w:trHeight w:val="1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>
              <w:rPr>
                <w:rFonts w:cs="Calibri"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both"/>
              <w:rPr/>
            </w:pPr>
            <w:r>
              <w:rPr>
                <w:rStyle w:val="Style13"/>
                <w:rFonts w:cs="Times New Roman CYR" w:ascii="Liberation Serif" w:hAnsi="Liberation Serif"/>
                <w:sz w:val="24"/>
                <w:szCs w:val="24"/>
              </w:rPr>
              <w:t>Оформление права собственности (количество объектов)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</w:tr>
      <w:tr>
        <w:trPr>
          <w:trHeight w:val="1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>
              <w:rPr>
                <w:rFonts w:cs="Calibri"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rPr/>
            </w:pPr>
            <w:r>
              <w:rPr>
                <w:rStyle w:val="Style13"/>
                <w:rFonts w:ascii="Liberation Serif" w:hAnsi="Liberation Serif"/>
                <w:sz w:val="24"/>
                <w:szCs w:val="24"/>
              </w:rPr>
              <w:t>межевание, кадастровый учет,  регистрация права собственности на земельные участки, в том числе  под  автодорогами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</w:tr>
      <w:tr>
        <w:trPr>
          <w:trHeight w:val="1191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widowControl w:val="false"/>
              <w:autoSpaceDE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Оформление технической документации на объекты коммунальной инфраструктуры, признанных бесхозяйными;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>
        <w:trPr>
          <w:trHeight w:val="1289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регистрация права собственности за Камышловским городским округом на объекты коммунальной инфраструктуры, признанных бесхозяйными;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>
        <w:trPr>
          <w:trHeight w:val="603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>
              <w:rPr>
                <w:rFonts w:cs="Calibri"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rPr/>
            </w:pPr>
            <w:r>
              <w:rPr>
                <w:rStyle w:val="Style13"/>
                <w:rFonts w:ascii="Liberation Serif" w:hAnsi="Liberation Serif"/>
                <w:sz w:val="24"/>
                <w:szCs w:val="24"/>
              </w:rPr>
              <w:t>Снос ветхого недвижимого имущества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>
        <w:trPr>
          <w:trHeight w:val="1261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Снятие жилых домов с технического, кадастрового учета, прекращение государственной регистрации права на объект.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>
        <w:trPr>
          <w:trHeight w:val="1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9.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rPr/>
            </w:pPr>
            <w:r>
              <w:rPr>
                <w:rStyle w:val="Style13"/>
                <w:rFonts w:ascii="Liberation Serif" w:hAnsi="Liberation Serif"/>
                <w:sz w:val="24"/>
                <w:szCs w:val="24"/>
              </w:rPr>
              <w:t>Предоставления земельных участков льготной категории граждан, в соответствии с законом Свердловской области № 18-ОЗ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  <w:tr>
        <w:trPr>
          <w:trHeight w:val="1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10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Содержание и ремонт муниципального имущества</w:t>
            </w:r>
          </w:p>
          <w:p>
            <w:pPr>
              <w:pStyle w:val="Style16"/>
              <w:autoSpaceDE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6"/>
              <w:autoSpaceDE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</w:tbl>
    <w:p>
      <w:pPr>
        <w:pStyle w:val="Style1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sectPr>
      <w:headerReference w:type="default" r:id="rId3"/>
      <w:type w:val="nextPage"/>
      <w:pgSz w:w="11906" w:h="16838"/>
      <w:pgMar w:left="1701" w:right="567" w:header="1134" w:top="1686" w:footer="0" w:bottom="1134" w:gutter="0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81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1">
    <w:name w:val="Heading 1"/>
    <w:basedOn w:val="Style16"/>
    <w:next w:val="Style16"/>
    <w:qFormat/>
    <w:pPr>
      <w:keepNext w:val="true"/>
      <w:numPr>
        <w:ilvl w:val="0"/>
        <w:numId w:val="1"/>
      </w:numPr>
      <w:suppressAutoHyphens w:val="true"/>
      <w:outlineLvl w:val="0"/>
    </w:pPr>
    <w:rPr>
      <w:sz w:val="28"/>
    </w:rPr>
  </w:style>
  <w:style w:type="character" w:styleId="Style13">
    <w:name w:val="Основной шрифт абзаца"/>
    <w:qFormat/>
    <w:rPr/>
  </w:style>
  <w:style w:type="character" w:styleId="11">
    <w:name w:val="Заголовок 1 Знак"/>
    <w:basedOn w:val="Style13"/>
    <w:qFormat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Tahoma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Style17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18">
    <w:name w:val="Header"/>
    <w:basedOn w:val="Style17"/>
    <w:pPr>
      <w:suppressLineNumbers/>
    </w:pPr>
    <w:rPr/>
  </w:style>
  <w:style w:type="paragraph" w:styleId="Style19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LibreOffice/6.4.7.2$Linux_X86_64 LibreOffice_project/40$Build-2</Application>
  <Pages>3</Pages>
  <Words>726</Words>
  <Characters>4800</Characters>
  <CharactersWithSpaces>5824</CharactersWithSpaces>
  <Paragraphs>158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2022-02-08T05:18:00Z</dcterms:created>
  <dc:creator>Бухгалтер</dc:creator>
  <dc:description/>
  <dc:language>ru-RU</dc:language>
  <cp:lastModifiedBy/>
  <cp:lastPrinted>2022-02-10T14:10:37Z</cp:lastPrinted>
  <dcterms:modified xsi:type="dcterms:W3CDTF">2022-02-10T14:10:53Z</dcterms:modified>
  <cp:revision>2</cp:revision>
  <dc:subject/>
  <dc:title/>
</cp:coreProperties>
</file>