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center"/>
        <w:rPr/>
      </w:pPr>
      <w:r>
        <w:rPr/>
        <w:object w:dxaOrig="1756" w:dyaOrig="2716">
          <v:shape id="ole_rId2" style="width:38.25pt;height:59.25pt" o:ole="">
            <v:imagedata r:id="rId3" o:title=""/>
          </v:shape>
          <o:OLEObject Type="Embed" ProgID="" ShapeID="ole_rId2" DrawAspect="Content" ObjectID="_91038054" r:id="rId2"/>
        </w:object>
      </w:r>
    </w:p>
    <w:p>
      <w:pPr>
        <w:pStyle w:val="Style26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6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от 1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9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.05.2021 N 3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30</w:t>
      </w:r>
    </w:p>
    <w:p>
      <w:pPr>
        <w:pStyle w:val="Style26"/>
        <w:jc w:val="center"/>
        <w:rPr>
          <w:rStyle w:val="Style12"/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6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План мероприятий, направленных на восстановление численности занятого населения Камышловского городского округа (до уровня 2019 года) к IV кварталу 2021 года, утвержденный постановлением администрации </w:t>
      </w:r>
    </w:p>
    <w:p>
      <w:pPr>
        <w:pStyle w:val="Style26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Камышловского городского округа от 14.04.2021 года №252</w:t>
      </w:r>
    </w:p>
    <w:p>
      <w:pPr>
        <w:pStyle w:val="Style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Во исполнение пункта 5 раздела </w:t>
      </w:r>
      <w:r>
        <w:rPr>
          <w:rStyle w:val="Style12"/>
          <w:rFonts w:cs="Liberation Serif" w:ascii="Liberation Serif" w:hAnsi="Liberation Serif"/>
          <w:sz w:val="28"/>
          <w:szCs w:val="28"/>
          <w:lang w:val="en-US"/>
        </w:rPr>
        <w:t>I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протокола оперативного совещания Правительства Свердловской области 18 марта 2021 года № 9-ОП под председательством первого Заместителя Губернатора Свердловской области А.Г. Высокинского, пункта 3 раздела </w:t>
      </w:r>
      <w:r>
        <w:rPr>
          <w:rStyle w:val="Style12"/>
          <w:rFonts w:cs="Liberation Serif" w:ascii="Liberation Serif" w:hAnsi="Liberation Serif"/>
          <w:sz w:val="28"/>
          <w:szCs w:val="28"/>
          <w:lang w:val="en-US"/>
        </w:rPr>
        <w:t>I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протокола оперативного совещания Правительства Свердловской области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8 апреля 2021 года № 12-ОП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под председательством первого Заместителя Губернатора Свердловской области А.Г. Высокинского,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администрация Камышловского городского округа</w:t>
      </w:r>
    </w:p>
    <w:p>
      <w:pPr>
        <w:pStyle w:val="Style26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6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 Внести изменения в План мероприятий, направленных на восстановление численности занятого населения Камышловского городского округа (до уровня 2019 года) к IV кварталу 2021 года, утвержденный постановлением администрации Камышловского городского округа от 14.04.2021 года №252, изложив его в новой редакции</w:t>
      </w:r>
      <w:r>
        <w:rPr>
          <w:rStyle w:val="Style12"/>
          <w:rFonts w:cs="Liberation Serif" w:ascii="Liberation Serif" w:hAnsi="Liberation Serif"/>
          <w:bCs/>
          <w:color w:val="000000"/>
          <w:sz w:val="28"/>
          <w:szCs w:val="28"/>
        </w:rPr>
        <w:t xml:space="preserve"> (прилагается).</w:t>
      </w:r>
    </w:p>
    <w:p>
      <w:pPr>
        <w:pStyle w:val="Style26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Style26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>
      <w:pPr>
        <w:pStyle w:val="Style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6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6"/>
        <w:widowControl w:val="false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Style26"/>
        <w:widowControl w:val="false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6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26"/>
        <w:ind w:left="0" w:right="0" w:firstLine="6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3861" w:type="dxa"/>
        <w:jc w:val="left"/>
        <w:tblInd w:w="108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1"/>
      </w:tblGrid>
      <w:tr>
        <w:trPr>
          <w:trHeight w:val="786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6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постановлением администрации Камышловского гоодского округа от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19.05.2021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330</w:t>
            </w:r>
          </w:p>
        </w:tc>
      </w:tr>
    </w:tbl>
    <w:p>
      <w:pPr>
        <w:pStyle w:val="Style26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6"/>
        <w:jc w:val="center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ab/>
      </w:r>
      <w:r>
        <w:rPr>
          <w:rStyle w:val="Style12"/>
          <w:rFonts w:ascii="Liberation Serif" w:hAnsi="Liberation Serif"/>
          <w:sz w:val="28"/>
          <w:szCs w:val="28"/>
        </w:rPr>
        <w:t>План мероприятий,</w:t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направленный на восстановление численности занятого населения Камышловского городского округа </w:t>
      </w:r>
    </w:p>
    <w:p>
      <w:pPr>
        <w:pStyle w:val="Style26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(до уровня 2019 года) к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IV</w:t>
      </w:r>
      <w:r>
        <w:rPr>
          <w:rStyle w:val="Style12"/>
          <w:rFonts w:ascii="Liberation Serif" w:hAnsi="Liberation Serif"/>
          <w:sz w:val="28"/>
          <w:szCs w:val="28"/>
        </w:rPr>
        <w:t xml:space="preserve"> кварталу 2021 года </w:t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5139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921"/>
        <w:gridCol w:w="1481"/>
        <w:gridCol w:w="3226"/>
        <w:gridCol w:w="3544"/>
        <w:gridCol w:w="337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Охват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31.12.2021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Рекомендуемое значение контрольного показателя на 2021 год-145 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Снижение напряженности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 рынке труда, повышение уровня занятости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баланса трудовых ресурсов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 xml:space="preserve"> квартал 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Организации и средние образовательные учреждения, расположенные на территории Камышловского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Оценка сбалансированности</w:t>
            </w:r>
          </w:p>
          <w:p>
            <w:pPr>
              <w:pStyle w:val="Style26"/>
              <w:widowControl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потенциального предложения на рынке труда в Камышловском городском округе и потенциального спроса на рабочую силу; выявление перспективных направлений развития рынка труда в округе с учетом развития отдельных сфер и отраслей экономики.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Реализация постановления Правительства РФ № 362-ПП от 13.03.2021 в рамках соглашения с ФСС об информационном взаимодействии по вопросам предоставления субсидий юридическим лицам и индивидуальным предпринимателям в целях их стимулирования к трудоустройству безработных граждан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71 трудоустроенный гражданин из числа безработных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Развитие малого бизнеса, создание дополнительных рабочих мест 71 безработному гражданину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безработных граждан об услугах по организации ведения предпринимательской деятельности, предоставляемых Свердловским областным фондом поддержки предпринимательства (микрокредитной компанией)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01.06.2021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Безработные граждане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Развитие малого бизнеса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Увеличение численности занятого населения (содействие трудоустройству, содействие безработным гражданам в регистрации в качестве самозанятых, содействие в открытии ИП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Численность безработных граждан, рассчитанных по методологии МОТ – не более 756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Восстановление численности занятого населения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Профессиональное консультирование в целях содействия трудоустройству учащихся выпускных курсов (групп) колледжей (техникумов), вузов, находящихся под риском не трудоустройства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Учащиеся выпускных курсов (групп), которые не имеют вариантов занятости и подвержены риску нетрудоустройства – не менее 55 чел.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Повышение уровня занятости выпускников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Взаимодействие с работодателями с целью заключение договоров на организацию общественных работ для безработных граждан и граждан, обратившихся с целью поиска работы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Контрольный показатель – 101 гражданин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101 трудоустроенный гражданин по заключенным договорам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Организация моно-ярмарок, ярмарок вакансий учебных и рабочих мест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Работодатели, граждане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09"/>
              </w:tabs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ярмарок вакансий, содействие трудоустройству граждан,</w:t>
            </w:r>
          </w:p>
          <w:p>
            <w:pPr>
              <w:pStyle w:val="Style26"/>
              <w:tabs>
                <w:tab w:val="clear" w:pos="709"/>
              </w:tabs>
              <w:ind w:left="-1" w:right="-74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оперативность подбора кадров работодателями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01.12.2021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Граждане, обратившиеся в органы службы занятости, безработные граждане получившие государственную услугу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в выборе сферы</w:t>
            </w:r>
          </w:p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деятельности (профессии),</w:t>
            </w:r>
          </w:p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2"/>
                <w:rFonts w:ascii="Liberation Serif" w:hAnsi="Liberation Serif"/>
                <w:sz w:val="24"/>
                <w:szCs w:val="24"/>
              </w:rPr>
              <w:t>оптимальных видов занятости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Предоставление государственной социальной помощи на основании социального контракта (трудоустройство безработных граждан, направление на прохождение профобучения или получения ДПО по востребованным на рынке труда профессиям с учетом результатов предоставления государственной услуги по профориентации)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ind w:left="0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Численность безработных граждан, восстановивших занятость - 117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№8 (по согласованию)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Восстановление численности занятого населения. Снижение напряженности на рынке труда.</w:t>
            </w:r>
          </w:p>
        </w:tc>
      </w:tr>
      <w:tr>
        <w:trPr>
          <w:trHeight w:val="2849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безработных граждан о необходимости уведомлять центр занятости о факте трудоустройства, с целью предотвращения получения пособия по безработице обманным путем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01.10.2021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Безработные граждане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численности занятых граждан</w:t>
            </w:r>
          </w:p>
        </w:tc>
      </w:tr>
      <w:tr>
        <w:trPr>
          <w:trHeight w:val="1698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Профессиональное обучение и дополнительное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профессиональное образование безработных граждан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Численность безработных граждан, приступивших к профобучению – 135 чел.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трудоустройству, повышение конкурентоспособности граждан на рынке труда в целях трудоустройства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работы по информированию отдельных категорий граждан о возможности прохождения профессионального обучения и получения дополнительного профессионального образования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before="0" w:after="200"/>
              <w:ind w:left="-1" w:right="-7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01.12.2021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Граждане, ищущие работу и обратившиеся в органы службы занятости, включая безработных граждан, граждане в возрасте 50 лет и старше, граждане предпенсионного возраста, женщины, находящиеся в отпуске по уходу за ребенком в возрасте до 3х лет, женщины, не состоящие в трудовых отношениях, имеющих детей до 3х лет, трудоустроенные после обучения – 39</w:t>
            </w:r>
            <w:r>
              <w:rPr>
                <w:rStyle w:val="Style12"/>
                <w:rFonts w:cs="Liberation Serif"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Увеличение численности занятых граждан.  Создание условий для успешного продолжения трудовой деятельности. 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работы по наполнению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работодателями сведений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 потребности в работниках</w:t>
            </w:r>
          </w:p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информационно-аналитической системы Общероссийской базы вакансий «Работа в России»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before="0" w:after="200"/>
              <w:ind w:left="-1" w:right="-7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числа работодателей, разместивших сведения о вакансиях, актуализация банка вакансий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>
                <w:rStyle w:val="Style12"/>
                <w:rFonts w:ascii="Liberation Serif" w:hAnsi="Liberation Serif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tabs>
                <w:tab w:val="left" w:pos="993" w:leader="none"/>
              </w:tabs>
              <w:autoSpaceDE w:val="false"/>
              <w:spacing w:before="0" w:after="200"/>
              <w:ind w:left="-1" w:right="-7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Работодатели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"Камышловский центр занятости" (по согласованию)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количества рабочих мест</w:t>
            </w:r>
          </w:p>
        </w:tc>
      </w:tr>
    </w:tbl>
    <w:p>
      <w:pPr>
        <w:pStyle w:val="Style26"/>
        <w:tabs>
          <w:tab w:val="clear" w:pos="709"/>
          <w:tab w:val="left" w:pos="6555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4"/>
      <w:type w:val="nextPage"/>
      <w:pgSz w:orient="landscape" w:w="16838" w:h="11906"/>
      <w:pgMar w:left="1701" w:right="850" w:header="720" w:top="1134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 Light">
    <w:charset w:val="cc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roma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libri Light" w:hAnsi="Calibri Light" w:eastAsia="Tahoma" w:cs="Arial"/>
      <w:b/>
      <w:bCs/>
      <w:color w:val="2E74B5"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pBdr>
        <w:bottom w:val="double" w:sz="12" w:space="1" w:color="000000"/>
      </w:pBdr>
      <w:jc w:val="center"/>
      <w:outlineLvl w:val="2"/>
    </w:pPr>
    <w:rPr>
      <w:b/>
      <w:sz w:val="40"/>
    </w:rPr>
  </w:style>
  <w:style w:type="character" w:styleId="Style12">
    <w:name w:val="Основной шрифт абзаца"/>
    <w:qFormat/>
    <w:rPr/>
  </w:style>
  <w:style w:type="character" w:styleId="Style13">
    <w:name w:val="Название Знак"/>
    <w:qFormat/>
    <w:rPr>
      <w:sz w:val="24"/>
    </w:rPr>
  </w:style>
  <w:style w:type="character" w:styleId="Style14">
    <w:name w:val="Верхний колонтитул Знак"/>
    <w:basedOn w:val="Style12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5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6">
    <w:name w:val="Основной текст_"/>
    <w:qFormat/>
    <w:rPr>
      <w:sz w:val="26"/>
      <w:szCs w:val="26"/>
      <w:highlight w:val="white"/>
    </w:rPr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7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5"/>
      <w:szCs w:val="25"/>
      <w:u w:val="none"/>
    </w:rPr>
  </w:style>
  <w:style w:type="character" w:styleId="Style18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19">
    <w:name w:val="Нижний колонтитул Знак"/>
    <w:basedOn w:val="Style12"/>
    <w:qFormat/>
    <w:rPr/>
  </w:style>
  <w:style w:type="character" w:styleId="Pagenumber">
    <w:name w:val="page number"/>
    <w:basedOn w:val="DefaultParagraphFont"/>
    <w:qFormat/>
    <w:rPr/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2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2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22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32"/>
      <w:szCs w:val="24"/>
      <w:u w:val="single"/>
      <w:lang w:eastAsia="ru-RU"/>
    </w:rPr>
  </w:style>
  <w:style w:type="character" w:styleId="12">
    <w:name w:val="Заголовок 1 Знак"/>
    <w:basedOn w:val="DefaultParagraphFont"/>
    <w:qFormat/>
    <w:rPr>
      <w:rFonts w:ascii="Calibri Light" w:hAnsi="Calibri Light" w:eastAsia="Tahoma" w:cs="Arial"/>
      <w:b/>
      <w:bCs/>
      <w:color w:val="2E74B5"/>
      <w:sz w:val="28"/>
      <w:szCs w:val="28"/>
      <w:lang w:eastAsia="ru-RU"/>
    </w:rPr>
  </w:style>
  <w:style w:type="character" w:styleId="Style23">
    <w:name w:val="Интернет-ссылка"/>
    <w:basedOn w:val="DefaultParagraphFont"/>
    <w:rPr>
      <w:color w:val="0000FF"/>
      <w:u w:val="single"/>
    </w:rPr>
  </w:style>
  <w:style w:type="character" w:styleId="Style2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25">
    <w:name w:val="Заголовок Знак"/>
    <w:basedOn w:val="DefaultParagraphFont"/>
    <w:qFormat/>
    <w:rPr>
      <w:rFonts w:ascii="Times New Roman" w:hAnsi="Times New Roman" w:eastAsia="Times New Roman" w:cs="Times New Roman"/>
      <w:b/>
      <w:sz w:val="37"/>
      <w:szCs w:val="20"/>
      <w:lang w:eastAsia="ru-RU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sz w:val="40"/>
      <w:szCs w:val="24"/>
      <w:lang w:eastAsia="ru-RU"/>
    </w:rPr>
  </w:style>
  <w:style w:type="character" w:styleId="DefaultParagraphFont">
    <w:name w:val="Default Paragraph Font"/>
    <w:qFormat/>
    <w:rPr/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8">
    <w:name w:val="Style2"/>
    <w:basedOn w:val="Style26"/>
    <w:qFormat/>
    <w:pPr>
      <w:suppressAutoHyphens w:val="true"/>
      <w:autoSpaceDE w:val="false"/>
      <w:jc w:val="center"/>
    </w:pPr>
    <w:rPr>
      <w:sz w:val="24"/>
      <w:szCs w:val="24"/>
    </w:rPr>
  </w:style>
  <w:style w:type="paragraph" w:styleId="Style29">
    <w:name w:val="Caption"/>
    <w:basedOn w:val="Style26"/>
    <w:qFormat/>
    <w:pPr>
      <w:widowControl/>
      <w:suppressAutoHyphens w:val="true"/>
      <w:overflowPunct w:val="false"/>
      <w:autoSpaceDE w:val="false"/>
      <w:ind w:left="0" w:right="0" w:firstLine="567"/>
      <w:jc w:val="center"/>
    </w:pPr>
    <w:rPr>
      <w:sz w:val="24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6"/>
    <w:pPr>
      <w:widowControl/>
      <w:tabs>
        <w:tab w:val="clear" w:pos="709"/>
        <w:tab w:val="center" w:pos="4153" w:leader="none"/>
        <w:tab w:val="right" w:pos="8306" w:leader="none"/>
      </w:tabs>
      <w:suppressAutoHyphens w:val="true"/>
    </w:pPr>
    <w:rPr/>
  </w:style>
  <w:style w:type="paragraph" w:styleId="Style51">
    <w:name w:val="Style5"/>
    <w:basedOn w:val="Style26"/>
    <w:qFormat/>
    <w:pPr>
      <w:suppressAutoHyphens w:val="true"/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6"/>
    <w:qFormat/>
    <w:pPr>
      <w:suppressAutoHyphens w:val="true"/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2">
    <w:name w:val="Абзац списка"/>
    <w:basedOn w:val="Style26"/>
    <w:qFormat/>
    <w:pPr>
      <w:widowControl/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33">
    <w:name w:val="Обычный (веб)"/>
    <w:basedOn w:val="Style26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8">
    <w:name w:val="Основной текст8"/>
    <w:basedOn w:val="Style26"/>
    <w:qFormat/>
    <w:pPr>
      <w:shd w:fill="FFFFFF" w:val="clear"/>
      <w:suppressAutoHyphens w:val="true"/>
      <w:spacing w:lineRule="exact" w:line="322"/>
      <w:jc w:val="center"/>
    </w:pPr>
    <w:rPr>
      <w:sz w:val="26"/>
      <w:szCs w:val="26"/>
    </w:rPr>
  </w:style>
  <w:style w:type="paragraph" w:styleId="Style34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BodyText2">
    <w:name w:val="Body Text 2"/>
    <w:basedOn w:val="Normal"/>
    <w:qFormat/>
    <w:pPr>
      <w:jc w:val="center"/>
    </w:pPr>
    <w:rPr>
      <w:b/>
      <w:bCs/>
    </w:rPr>
  </w:style>
  <w:style w:type="paragraph" w:styleId="Style36">
    <w:name w:val="Body Text"/>
    <w:basedOn w:val="Normal"/>
    <w:pPr>
      <w:spacing w:lineRule="auto" w:line="276" w:before="0" w:after="140"/>
    </w:pPr>
    <w:rPr/>
  </w:style>
  <w:style w:type="paragraph" w:styleId="Style37">
    <w:name w:val="Body Text Indent"/>
    <w:basedOn w:val="Normal"/>
    <w:pPr>
      <w:ind w:left="0" w:right="0" w:firstLine="540"/>
      <w:jc w:val="both"/>
    </w:pPr>
    <w:rPr>
      <w:sz w:val="28"/>
    </w:rPr>
  </w:style>
  <w:style w:type="paragraph" w:styleId="Style38">
    <w:name w:val="Заголовок"/>
    <w:basedOn w:val="Normal"/>
    <w:next w:val="Style3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39">
    <w:name w:val="Subtitle"/>
    <w:basedOn w:val="Normal"/>
    <w:qFormat/>
    <w:pPr>
      <w:jc w:val="center"/>
    </w:pPr>
    <w:rPr>
      <w:b/>
      <w:bCs/>
      <w:sz w:val="32"/>
      <w:u w:val="single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40">
    <w:name w:val="Title"/>
    <w:basedOn w:val="Normal"/>
    <w:qFormat/>
    <w:pPr>
      <w:overflowPunct w:val="false"/>
      <w:jc w:val="center"/>
      <w:textAlignment w:val="baseline"/>
    </w:pPr>
    <w:rPr>
      <w:b/>
      <w:sz w:val="37"/>
      <w:szCs w:val="20"/>
    </w:rPr>
  </w:style>
  <w:style w:type="paragraph" w:styleId="Style4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42">
    <w:name w:val="List"/>
    <w:basedOn w:val="Style36"/>
    <w:pPr/>
    <w:rPr>
      <w:rFonts w:ascii="Times New Roman" w:hAnsi="Times New Roman"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LibreOffice/6.3.4.2$Windows_X86_64 LibreOffice_project/60da17e045e08f1793c57c00ba83cdfce946d0aa</Application>
  <Pages>6</Pages>
  <Words>1009</Words>
  <CharactersWithSpaces>8964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2021-04-28T09:27:00Z</dcterms:created>
  <dc:creator>kamgo@gov66.ru</dc:creator>
  <dc:description/>
  <dc:language>ru-RU</dc:language>
  <cp:lastModifiedBy/>
  <cp:lastPrinted>2021-05-19T09:10:05Z</cp:lastPrinted>
  <dcterms:modified xsi:type="dcterms:W3CDTF">2021-05-19T11:04:36Z</dcterms:modified>
  <cp:revision>6</cp:revision>
  <dc:subject/>
  <dc:title> </dc:title>
</cp:coreProperties>
</file>