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jpeg" ContentType="image/jpeg"/>
  <Override PartName="/word/media/image8.png" ContentType="image/png"/>
  <Override PartName="/word/media/image3.png" ContentType="image/png"/>
  <Override PartName="/word/media/image4.png" ContentType="image/png"/>
  <Override PartName="/word/media/image5.png" ContentType="image/png"/>
  <Override PartName="/word/media/image34.jpeg" ContentType="image/jpe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35.jpeg" ContentType="image/jpe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32.wmf" ContentType="image/x-wmf"/>
  <Override PartName="/word/media/image21.png" ContentType="image/png"/>
  <Override PartName="/word/media/image33.wmf" ContentType="image/x-wmf"/>
  <Override PartName="/word/media/image22.png" ContentType="image/png"/>
  <Override PartName="/word/media/image23.png" ContentType="image/png"/>
  <Override PartName="/word/media/image24.png" ContentType="image/png"/>
  <Override PartName="/word/media/image25.png" ContentType="image/png"/>
  <Override PartName="/word/media/image36.jpeg" ContentType="image/jpe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wmf" ContentType="image/x-wmf"/>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1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54"/>
        <w:bidi w:val="0"/>
        <w:jc w:val="center"/>
        <w:rPr/>
      </w:pPr>
      <w:r>
        <w:rPr/>
        <w:drawing>
          <wp:inline distT="0" distB="0" distL="0" distR="0">
            <wp:extent cx="485140" cy="749935"/>
            <wp:effectExtent l="0" t="0" r="0" b="0"/>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rcRect l="-129" t="-84" r="-129" b="-84"/>
                    <a:stretch>
                      <a:fillRect/>
                    </a:stretch>
                  </pic:blipFill>
                  <pic:spPr bwMode="auto">
                    <a:xfrm>
                      <a:off x="0" y="0"/>
                      <a:ext cx="485140" cy="749935"/>
                    </a:xfrm>
                    <a:prstGeom prst="rect">
                      <a:avLst/>
                    </a:prstGeom>
                  </pic:spPr>
                </pic:pic>
              </a:graphicData>
            </a:graphic>
          </wp:inline>
        </w:drawing>
      </w:r>
    </w:p>
    <w:p>
      <w:pPr>
        <w:pStyle w:val="Style154"/>
        <w:bidi w:val="0"/>
        <w:spacing w:lineRule="auto" w:line="240" w:before="0" w:after="0"/>
        <w:jc w:val="center"/>
        <w:rPr/>
      </w:pPr>
      <w:r>
        <w:rPr>
          <w:rStyle w:val="Style64"/>
          <w:rFonts w:cs="Liberation Serif;Times New Roman" w:ascii="Liberation Serif;Times New Roman" w:hAnsi="Liberation Serif;Times New Roman"/>
          <w:b/>
          <w:sz w:val="28"/>
        </w:rPr>
        <w:t>АДМИНИСТРАЦИЯ КАМЫШЛОВСКОГО ГОРОДСКОГО ОКРУГА</w:t>
      </w:r>
    </w:p>
    <w:p>
      <w:pPr>
        <w:pStyle w:val="Style154"/>
        <w:bidi w:val="0"/>
        <w:spacing w:lineRule="auto" w:line="240" w:before="0" w:after="0"/>
        <w:jc w:val="center"/>
        <w:rPr>
          <w:rFonts w:ascii="Liberation Serif;Times New Roman" w:hAnsi="Liberation Serif;Times New Roman" w:cs="Liberation Serif;Times New Roman"/>
          <w:b/>
          <w:b/>
          <w:sz w:val="28"/>
        </w:rPr>
      </w:pPr>
      <w:r>
        <w:rPr>
          <w:rFonts w:cs="Liberation Serif;Times New Roman" w:ascii="Liberation Serif;Times New Roman" w:hAnsi="Liberation Serif;Times New Roman"/>
          <w:b/>
          <w:sz w:val="28"/>
        </w:rPr>
        <w:t>П О С Т А Н О В Л Е Н И Е</w:t>
      </w:r>
    </w:p>
    <w:p>
      <w:pPr>
        <w:pStyle w:val="Style154"/>
        <w:pBdr>
          <w:top w:val="double" w:sz="12" w:space="1" w:color="000000"/>
        </w:pBdr>
        <w:bidi w:val="0"/>
        <w:spacing w:lineRule="auto" w:line="240" w:before="0" w:after="0"/>
        <w:jc w:val="left"/>
        <w:rPr>
          <w:rFonts w:ascii="Liberation Serif;Times New Roman" w:hAnsi="Liberation Serif;Times New Roman" w:cs="Liberation Serif;Times New Roman"/>
          <w:sz w:val="28"/>
          <w:szCs w:val="28"/>
        </w:rPr>
      </w:pPr>
      <w:r>
        <w:rPr>
          <w:rFonts w:cs="Liberation Serif;Times New Roman" w:ascii="Liberation Serif;Times New Roman" w:hAnsi="Liberation Serif;Times New Roman"/>
          <w:sz w:val="28"/>
          <w:szCs w:val="28"/>
        </w:rPr>
      </w:r>
    </w:p>
    <w:p>
      <w:pPr>
        <w:pStyle w:val="Normal"/>
        <w:widowControl/>
        <w:suppressAutoHyphens w:val="false"/>
        <w:bidi w:val="0"/>
        <w:spacing w:lineRule="auto" w:line="240" w:before="0" w:after="0"/>
        <w:ind w:left="0" w:right="0" w:hanging="0"/>
        <w:jc w:val="left"/>
        <w:rPr>
          <w:b/>
          <w:b/>
          <w:i/>
          <w:i/>
          <w:sz w:val="28"/>
          <w:szCs w:val="28"/>
        </w:rPr>
      </w:pPr>
      <w:r>
        <w:rPr>
          <w:rStyle w:val="Style64"/>
          <w:rFonts w:eastAsia="Times New Roman" w:cs="Liberation Serif;Times New Roman" w:ascii="Liberation Serif;Times New Roman" w:hAnsi="Liberation Serif;Times New Roman"/>
          <w:b/>
          <w:bCs w:val="false"/>
          <w:i w:val="false"/>
          <w:iCs w:val="false"/>
          <w:color w:val="000000"/>
          <w:sz w:val="28"/>
          <w:szCs w:val="28"/>
          <w:lang w:eastAsia="ru-RU" w:bidi="ru-RU"/>
        </w:rPr>
        <w:t xml:space="preserve">от </w:t>
      </w:r>
      <w:r>
        <w:rPr>
          <w:rStyle w:val="Style64"/>
          <w:rFonts w:eastAsia="Times New Roman" w:cs="Liberation Serif;Times New Roman" w:ascii="Liberation Serif;Times New Roman" w:hAnsi="Liberation Serif;Times New Roman"/>
          <w:b/>
          <w:bCs w:val="false"/>
          <w:i w:val="false"/>
          <w:iCs w:val="false"/>
          <w:color w:val="000000"/>
          <w:sz w:val="28"/>
          <w:szCs w:val="28"/>
          <w:lang w:val="en-US" w:eastAsia="ru-RU" w:bidi="ru-RU"/>
        </w:rPr>
        <w:t>07.10.2020</w:t>
      </w:r>
      <w:r>
        <w:rPr>
          <w:rStyle w:val="Style64"/>
          <w:rFonts w:eastAsia="Times New Roman" w:cs="Liberation Serif;Times New Roman" w:ascii="Liberation Serif;Times New Roman" w:hAnsi="Liberation Serif;Times New Roman"/>
          <w:b/>
          <w:bCs w:val="false"/>
          <w:i w:val="false"/>
          <w:iCs w:val="false"/>
          <w:color w:val="000000"/>
          <w:sz w:val="28"/>
          <w:szCs w:val="28"/>
          <w:lang w:eastAsia="ru-RU" w:bidi="ru-RU"/>
        </w:rPr>
        <w:t xml:space="preserve"> N </w:t>
      </w:r>
      <w:r>
        <w:rPr>
          <w:rStyle w:val="Style64"/>
          <w:rFonts w:eastAsia="Times New Roman" w:cs="Liberation Serif;Times New Roman" w:ascii="Liberation Serif;Times New Roman" w:hAnsi="Liberation Serif;Times New Roman"/>
          <w:b/>
          <w:bCs w:val="false"/>
          <w:i w:val="false"/>
          <w:iCs w:val="false"/>
          <w:color w:val="000000"/>
          <w:sz w:val="28"/>
          <w:szCs w:val="28"/>
          <w:lang w:val="en-US" w:eastAsia="ru-RU" w:bidi="ru-RU"/>
        </w:rPr>
        <w:t>673</w:t>
      </w:r>
    </w:p>
    <w:p>
      <w:pPr>
        <w:pStyle w:val="Normal"/>
        <w:widowControl/>
        <w:suppressAutoHyphens w:val="false"/>
        <w:bidi w:val="0"/>
        <w:spacing w:lineRule="auto" w:line="240" w:before="0" w:after="0"/>
        <w:ind w:left="0" w:right="0" w:hanging="0"/>
        <w:jc w:val="center"/>
        <w:rPr>
          <w:b/>
          <w:b/>
          <w:sz w:val="28"/>
          <w:szCs w:val="28"/>
        </w:rPr>
      </w:pPr>
      <w:r>
        <w:rPr>
          <w:b/>
          <w:sz w:val="28"/>
          <w:szCs w:val="28"/>
        </w:rPr>
      </w:r>
    </w:p>
    <w:p>
      <w:pPr>
        <w:pStyle w:val="Normal"/>
        <w:suppressAutoHyphens w:val="true"/>
        <w:ind w:left="0" w:right="16" w:hanging="0"/>
        <w:jc w:val="center"/>
        <w:rPr>
          <w:rFonts w:ascii="Liberation Serif" w:hAnsi="Liberation Serif"/>
          <w:sz w:val="28"/>
          <w:szCs w:val="28"/>
        </w:rPr>
      </w:pPr>
      <w:bookmarkStart w:id="0" w:name="__DdeLink__54536_3466535965"/>
      <w:r>
        <w:rPr>
          <w:rFonts w:ascii="Liberation Serif" w:hAnsi="Liberation Serif"/>
          <w:b/>
          <w:i w:val="false"/>
          <w:iCs w:val="false"/>
          <w:color w:val="000000"/>
          <w:sz w:val="28"/>
          <w:szCs w:val="28"/>
        </w:rPr>
        <w:t xml:space="preserve">О назначении публичных слушаний по проекту </w:t>
      </w:r>
      <w:r>
        <w:rPr>
          <w:rFonts w:ascii="Liberation Serif" w:hAnsi="Liberation Serif"/>
          <w:b/>
          <w:i w:val="false"/>
          <w:iCs w:val="false"/>
          <w:color w:val="000000"/>
          <w:sz w:val="28"/>
          <w:szCs w:val="28"/>
          <w:lang w:val="ru-RU"/>
        </w:rPr>
        <w:t>с</w:t>
      </w:r>
      <w:r>
        <w:rPr>
          <w:rFonts w:ascii="Liberation Serif" w:hAnsi="Liberation Serif"/>
          <w:b/>
          <w:i w:val="false"/>
          <w:iCs w:val="false"/>
          <w:color w:val="000000"/>
          <w:sz w:val="28"/>
          <w:szCs w:val="28"/>
        </w:rPr>
        <w:t>хемы теплоснабжения Камышловского городского округа на период до 2036 года</w:t>
      </w:r>
    </w:p>
    <w:p>
      <w:pPr>
        <w:pStyle w:val="Normal"/>
        <w:suppressAutoHyphens w:val="true"/>
        <w:ind w:left="0" w:right="16" w:hanging="0"/>
        <w:jc w:val="center"/>
        <w:rPr>
          <w:rFonts w:ascii="Liberation Serif" w:hAnsi="Liberation Serif"/>
          <w:sz w:val="28"/>
          <w:szCs w:val="28"/>
        </w:rPr>
      </w:pPr>
      <w:r>
        <w:rPr>
          <w:rFonts w:ascii="Liberation Serif" w:hAnsi="Liberation Serif"/>
          <w:b/>
          <w:i w:val="false"/>
          <w:iCs w:val="false"/>
          <w:color w:val="000000"/>
          <w:sz w:val="28"/>
          <w:szCs w:val="28"/>
        </w:rPr>
        <w:t xml:space="preserve"> </w:t>
      </w:r>
      <w:r>
        <w:rPr>
          <w:rFonts w:ascii="Liberation Serif" w:hAnsi="Liberation Serif"/>
          <w:b/>
          <w:i w:val="false"/>
          <w:iCs w:val="false"/>
          <w:color w:val="000000"/>
          <w:sz w:val="28"/>
          <w:szCs w:val="28"/>
          <w:lang w:val="en-US"/>
        </w:rPr>
        <w:t>(</w:t>
      </w:r>
      <w:r>
        <w:rPr>
          <w:rFonts w:ascii="Liberation Serif" w:hAnsi="Liberation Serif"/>
          <w:b/>
          <w:i w:val="false"/>
          <w:iCs w:val="false"/>
          <w:color w:val="000000"/>
          <w:sz w:val="28"/>
          <w:szCs w:val="28"/>
          <w:lang w:val="ru-RU"/>
        </w:rPr>
        <w:t>а</w:t>
      </w:r>
      <w:r>
        <w:rPr>
          <w:rFonts w:ascii="Liberation Serif" w:hAnsi="Liberation Serif"/>
          <w:b/>
          <w:i w:val="false"/>
          <w:iCs w:val="false"/>
          <w:color w:val="000000"/>
          <w:sz w:val="28"/>
          <w:szCs w:val="28"/>
        </w:rPr>
        <w:t>ктуализация на 2021 год</w:t>
      </w:r>
      <w:r>
        <w:rPr>
          <w:rFonts w:ascii="Liberation Serif" w:hAnsi="Liberation Serif"/>
          <w:b/>
          <w:i w:val="false"/>
          <w:iCs w:val="false"/>
          <w:color w:val="000000"/>
          <w:sz w:val="28"/>
          <w:szCs w:val="28"/>
          <w:lang w:val="en-US"/>
        </w:rPr>
        <w:t>)</w:t>
      </w:r>
      <w:bookmarkEnd w:id="0"/>
    </w:p>
    <w:p>
      <w:pPr>
        <w:pStyle w:val="Normal"/>
        <w:suppressAutoHyphens w:val="true"/>
        <w:ind w:left="0" w:right="16" w:hanging="0"/>
        <w:jc w:val="center"/>
        <w:rPr>
          <w:rFonts w:ascii="Liberation Serif" w:hAnsi="Liberation Serif"/>
          <w:b/>
          <w:b/>
          <w:i/>
          <w:i/>
          <w:color w:val="000000"/>
          <w:sz w:val="28"/>
          <w:szCs w:val="28"/>
        </w:rPr>
      </w:pPr>
      <w:r>
        <w:rPr>
          <w:rFonts w:ascii="Liberation Serif" w:hAnsi="Liberation Serif"/>
          <w:b/>
          <w:i/>
          <w:color w:val="000000"/>
          <w:sz w:val="28"/>
          <w:szCs w:val="28"/>
        </w:rPr>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Руководствуясь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22.02.2012 года № 154 «О требованиях к схемам теплоснабжения, порядку их разработки и утверждения», руководствуясь Уставом Камышловского городского округа:</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 xml:space="preserve">1. Вынести на публичные слушания проект </w:t>
      </w:r>
      <w:r>
        <w:rPr>
          <w:rFonts w:ascii="Liberation Serif" w:hAnsi="Liberation Serif"/>
          <w:sz w:val="28"/>
          <w:szCs w:val="28"/>
          <w:lang w:val="ru-RU"/>
        </w:rPr>
        <w:t>с</w:t>
      </w:r>
      <w:r>
        <w:rPr>
          <w:rFonts w:ascii="Liberation Serif" w:hAnsi="Liberation Serif"/>
          <w:sz w:val="28"/>
          <w:szCs w:val="28"/>
        </w:rPr>
        <w:t xml:space="preserve">хемы теплоснабжения Камышловского городского округа </w:t>
      </w:r>
      <w:r>
        <w:rPr>
          <w:rFonts w:ascii="Liberation Serif" w:hAnsi="Liberation Serif"/>
          <w:b w:val="false"/>
          <w:bCs w:val="false"/>
          <w:i w:val="false"/>
          <w:iCs w:val="false"/>
          <w:color w:val="000000"/>
          <w:sz w:val="28"/>
          <w:szCs w:val="28"/>
        </w:rPr>
        <w:t xml:space="preserve">на период до 2036 года </w:t>
      </w:r>
      <w:r>
        <w:rPr>
          <w:rFonts w:ascii="Liberation Serif" w:hAnsi="Liberation Serif"/>
          <w:b w:val="false"/>
          <w:bCs w:val="false"/>
          <w:i w:val="false"/>
          <w:iCs w:val="false"/>
          <w:color w:val="000000"/>
          <w:sz w:val="28"/>
          <w:szCs w:val="28"/>
          <w:lang w:val="en-US"/>
        </w:rPr>
        <w:t>(</w:t>
      </w:r>
      <w:r>
        <w:rPr>
          <w:rFonts w:ascii="Liberation Serif" w:hAnsi="Liberation Serif"/>
          <w:b w:val="false"/>
          <w:bCs w:val="false"/>
          <w:i w:val="false"/>
          <w:iCs w:val="false"/>
          <w:color w:val="000000"/>
          <w:sz w:val="28"/>
          <w:szCs w:val="28"/>
          <w:lang w:val="ru-RU"/>
        </w:rPr>
        <w:t>а</w:t>
      </w:r>
      <w:r>
        <w:rPr>
          <w:rFonts w:ascii="Liberation Serif" w:hAnsi="Liberation Serif"/>
          <w:b w:val="false"/>
          <w:bCs w:val="false"/>
          <w:i w:val="false"/>
          <w:iCs w:val="false"/>
          <w:color w:val="000000"/>
          <w:sz w:val="28"/>
          <w:szCs w:val="28"/>
        </w:rPr>
        <w:t>ктуализация на 2021 год</w:t>
      </w:r>
      <w:r>
        <w:rPr>
          <w:rFonts w:ascii="Liberation Serif" w:hAnsi="Liberation Serif"/>
          <w:b w:val="false"/>
          <w:bCs w:val="false"/>
          <w:i w:val="false"/>
          <w:iCs w:val="false"/>
          <w:color w:val="000000"/>
          <w:sz w:val="28"/>
          <w:szCs w:val="28"/>
          <w:lang w:val="en-US"/>
        </w:rPr>
        <w:t>)</w:t>
      </w:r>
      <w:r>
        <w:rPr>
          <w:rFonts w:ascii="Liberation Serif" w:hAnsi="Liberation Serif"/>
          <w:sz w:val="28"/>
          <w:szCs w:val="28"/>
        </w:rPr>
        <w:t xml:space="preserve"> (Приложение №1).</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 xml:space="preserve">2. Провести публичные слушания </w:t>
      </w:r>
      <w:r>
        <w:rPr>
          <w:rFonts w:ascii="Liberation Serif" w:hAnsi="Liberation Serif"/>
          <w:sz w:val="28"/>
          <w:szCs w:val="28"/>
          <w:lang w:val="en-US"/>
        </w:rPr>
        <w:t>27</w:t>
      </w:r>
      <w:r>
        <w:rPr>
          <w:rFonts w:ascii="Liberation Serif" w:hAnsi="Liberation Serif"/>
          <w:sz w:val="28"/>
          <w:szCs w:val="28"/>
        </w:rPr>
        <w:t xml:space="preserve"> октября 2020 года в 16 часов 30 минут по адресу: Свердловская область, город Камышлов, улица Свердлова, 41 (актовый зал администрации Камышловского городского округа).</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 xml:space="preserve">3. Утвердить состав рабочей комиссии по проведению публичных слушаний по проекту </w:t>
      </w:r>
      <w:r>
        <w:rPr>
          <w:rFonts w:ascii="Liberation Serif" w:hAnsi="Liberation Serif"/>
          <w:sz w:val="28"/>
          <w:szCs w:val="28"/>
          <w:lang w:val="ru-RU"/>
        </w:rPr>
        <w:t>с</w:t>
      </w:r>
      <w:r>
        <w:rPr>
          <w:rFonts w:ascii="Liberation Serif" w:hAnsi="Liberation Serif"/>
          <w:sz w:val="28"/>
          <w:szCs w:val="28"/>
        </w:rPr>
        <w:t xml:space="preserve">хемы теплоснабжения Камышловского городского округа </w:t>
      </w:r>
      <w:r>
        <w:rPr>
          <w:rFonts w:ascii="Liberation Serif" w:hAnsi="Liberation Serif"/>
          <w:b w:val="false"/>
          <w:bCs w:val="false"/>
          <w:i w:val="false"/>
          <w:iCs w:val="false"/>
          <w:color w:val="000000"/>
          <w:sz w:val="28"/>
          <w:szCs w:val="28"/>
        </w:rPr>
        <w:t xml:space="preserve">на период до 2036 года </w:t>
      </w:r>
      <w:r>
        <w:rPr>
          <w:rFonts w:ascii="Liberation Serif" w:hAnsi="Liberation Serif"/>
          <w:b w:val="false"/>
          <w:bCs w:val="false"/>
          <w:i w:val="false"/>
          <w:iCs w:val="false"/>
          <w:color w:val="000000"/>
          <w:sz w:val="28"/>
          <w:szCs w:val="28"/>
          <w:lang w:val="en-US"/>
        </w:rPr>
        <w:t>(</w:t>
      </w:r>
      <w:r>
        <w:rPr>
          <w:rFonts w:ascii="Liberation Serif" w:hAnsi="Liberation Serif"/>
          <w:b w:val="false"/>
          <w:bCs w:val="false"/>
          <w:i w:val="false"/>
          <w:iCs w:val="false"/>
          <w:color w:val="000000"/>
          <w:sz w:val="28"/>
          <w:szCs w:val="28"/>
          <w:lang w:val="ru-RU"/>
        </w:rPr>
        <w:t>а</w:t>
      </w:r>
      <w:r>
        <w:rPr>
          <w:rFonts w:ascii="Liberation Serif" w:hAnsi="Liberation Serif"/>
          <w:b w:val="false"/>
          <w:bCs w:val="false"/>
          <w:i w:val="false"/>
          <w:iCs w:val="false"/>
          <w:color w:val="000000"/>
          <w:sz w:val="28"/>
          <w:szCs w:val="28"/>
        </w:rPr>
        <w:t>ктуализация на 2021 год</w:t>
      </w:r>
      <w:r>
        <w:rPr>
          <w:rFonts w:ascii="Liberation Serif" w:hAnsi="Liberation Serif"/>
          <w:b w:val="false"/>
          <w:bCs w:val="false"/>
          <w:i w:val="false"/>
          <w:iCs w:val="false"/>
          <w:color w:val="000000"/>
          <w:sz w:val="28"/>
          <w:szCs w:val="28"/>
          <w:lang w:val="en-US"/>
        </w:rPr>
        <w:t>)</w:t>
      </w:r>
      <w:r>
        <w:rPr>
          <w:rFonts w:ascii="Liberation Serif" w:hAnsi="Liberation Serif"/>
          <w:sz w:val="28"/>
          <w:szCs w:val="28"/>
        </w:rPr>
        <w:t xml:space="preserve"> (Приложение № 2).</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4. Прием предложений, замечаний всех заинтересованных лиц по представленному на публичные слушания вопросу осуществляется секретарем Комиссии в письменном виде в кабинете 3 администрации Камышловского городского округа по адресу: Свердловская область, город Камышлов, улица Свердлова, 41, по рабочим дням (понедельник- пятница) с 08 часов 30 минут до 16 часов 30 минут, обед с 12 часов 00 минут до 12 часов 48 минут. Прием письменных предложений, вопросов, замечаний прекращается 23.10.2019 в 16 часов 00 минут.</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5. Опубликовать настоящее постановление в газете «Камышловские  известия»  и  разместить на официальном сайте  Камышловского городского округа в информационно-телекоммуникационной сети «Интернет».</w:t>
      </w:r>
    </w:p>
    <w:p>
      <w:pPr>
        <w:pStyle w:val="Normal"/>
        <w:suppressAutoHyphens w:val="true"/>
        <w:ind w:left="0" w:right="0" w:firstLine="709"/>
        <w:jc w:val="both"/>
        <w:rPr>
          <w:rFonts w:ascii="Liberation Serif" w:hAnsi="Liberation Serif"/>
          <w:sz w:val="28"/>
          <w:szCs w:val="28"/>
        </w:rPr>
      </w:pPr>
      <w:r>
        <w:rPr>
          <w:rFonts w:ascii="Liberation Serif" w:hAnsi="Liberation Serif"/>
          <w:sz w:val="28"/>
          <w:szCs w:val="28"/>
        </w:rPr>
        <w:t>6. Контроль за исполнением настоящего распоряжения возложить на первого заместителя главы администрации Камышловского городского округа Бессонова Е.А.</w:t>
      </w:r>
    </w:p>
    <w:p>
      <w:pPr>
        <w:pStyle w:val="Normal"/>
        <w:suppressAutoHyphens w:val="true"/>
        <w:jc w:val="both"/>
        <w:rPr>
          <w:rFonts w:ascii="Liberation Serif" w:hAnsi="Liberation Serif"/>
          <w:sz w:val="28"/>
          <w:szCs w:val="28"/>
        </w:rPr>
      </w:pPr>
      <w:r>
        <w:rPr>
          <w:rFonts w:ascii="Liberation Serif" w:hAnsi="Liberation Serif"/>
          <w:sz w:val="28"/>
          <w:szCs w:val="28"/>
        </w:rPr>
      </w:r>
    </w:p>
    <w:p>
      <w:pPr>
        <w:pStyle w:val="Normal"/>
        <w:widowControl/>
        <w:suppressAutoHyphens w:val="true"/>
        <w:bidi w:val="0"/>
        <w:spacing w:lineRule="auto" w:line="240" w:before="0" w:after="0"/>
        <w:ind w:left="0" w:right="0" w:hanging="0"/>
        <w:jc w:val="both"/>
        <w:rPr/>
      </w:pPr>
      <w:r>
        <w:rPr>
          <w:b w:val="false"/>
          <w:bCs w:val="false"/>
          <w:sz w:val="28"/>
          <w:szCs w:val="28"/>
        </w:rPr>
        <w:t xml:space="preserve">Глава </w:t>
      </w:r>
    </w:p>
    <w:p>
      <w:pPr>
        <w:sectPr>
          <w:type w:val="nextPage"/>
          <w:pgSz w:w="11906" w:h="16838"/>
          <w:pgMar w:left="1701" w:right="567" w:header="0" w:top="1134" w:footer="0" w:bottom="1134" w:gutter="0"/>
          <w:pgNumType w:fmt="decimal"/>
          <w:formProt w:val="false"/>
          <w:textDirection w:val="lrTb"/>
          <w:docGrid w:type="default" w:linePitch="360" w:charSpace="0"/>
        </w:sectPr>
        <w:pStyle w:val="Normal"/>
        <w:widowControl/>
        <w:suppressAutoHyphens w:val="true"/>
        <w:bidi w:val="0"/>
        <w:spacing w:lineRule="auto" w:line="240" w:before="0" w:after="0"/>
        <w:ind w:left="0" w:right="0" w:hanging="0"/>
        <w:jc w:val="both"/>
        <w:rPr/>
      </w:pPr>
      <w:r>
        <w:rPr>
          <w:b w:val="false"/>
          <w:bCs w:val="false"/>
          <w:sz w:val="28"/>
          <w:szCs w:val="28"/>
        </w:rPr>
        <w:t>Камышловского городского округа                                               А.В. Половников</w:t>
      </w:r>
    </w:p>
    <w:p>
      <w:pPr>
        <w:pStyle w:val="Normal"/>
        <w:widowControl/>
        <w:bidi w:val="0"/>
        <w:spacing w:lineRule="auto" w:line="240" w:before="0" w:after="0"/>
        <w:ind w:left="5102" w:right="0" w:hanging="0"/>
        <w:jc w:val="left"/>
        <w:rPr/>
      </w:pPr>
      <w:r>
        <w:rPr>
          <w:b w:val="false"/>
          <w:bCs w:val="false"/>
          <w:sz w:val="28"/>
          <w:szCs w:val="28"/>
        </w:rPr>
        <w:t>Приложение № 1</w:t>
      </w:r>
    </w:p>
    <w:p>
      <w:pPr>
        <w:pStyle w:val="Normal"/>
        <w:widowControl/>
        <w:bidi w:val="0"/>
        <w:spacing w:lineRule="auto" w:line="240" w:before="0" w:after="0"/>
        <w:ind w:left="5102" w:right="0" w:hanging="0"/>
        <w:jc w:val="left"/>
        <w:rPr>
          <w:b w:val="false"/>
          <w:b w:val="false"/>
          <w:bCs w:val="false"/>
          <w:sz w:val="28"/>
          <w:szCs w:val="28"/>
        </w:rPr>
      </w:pPr>
      <w:r>
        <w:rPr>
          <w:b w:val="false"/>
          <w:bCs w:val="false"/>
          <w:sz w:val="28"/>
          <w:szCs w:val="28"/>
        </w:rPr>
        <w:t>к постановлению администрации Камышловского городского округа</w:t>
      </w:r>
    </w:p>
    <w:p>
      <w:pPr>
        <w:pStyle w:val="Normal"/>
        <w:widowControl/>
        <w:bidi w:val="0"/>
        <w:spacing w:lineRule="auto" w:line="240" w:before="0" w:after="0"/>
        <w:ind w:left="5102" w:right="0" w:hanging="0"/>
        <w:jc w:val="left"/>
        <w:rPr/>
      </w:pPr>
      <w:r>
        <w:rPr>
          <w:b w:val="false"/>
          <w:bCs w:val="false"/>
          <w:sz w:val="28"/>
          <w:szCs w:val="28"/>
        </w:rPr>
        <w:t>от  07.10.2020 № 673</w:t>
      </w:r>
    </w:p>
    <w:p>
      <w:pPr>
        <w:pStyle w:val="Normal"/>
        <w:widowControl/>
        <w:bidi w:val="0"/>
        <w:spacing w:lineRule="auto" w:line="240" w:before="0" w:after="0"/>
        <w:ind w:left="5102" w:right="0" w:hanging="0"/>
        <w:jc w:val="left"/>
        <w:rPr>
          <w:b w:val="false"/>
          <w:b w:val="false"/>
          <w:bCs w:val="false"/>
          <w:sz w:val="28"/>
          <w:szCs w:val="28"/>
        </w:rPr>
      </w:pPr>
      <w:r>
        <w:rPr>
          <w:b w:val="false"/>
          <w:bCs w:val="false"/>
          <w:i w:val="false"/>
          <w:iCs w:val="false"/>
          <w:color w:val="000000"/>
          <w:sz w:val="28"/>
          <w:szCs w:val="28"/>
        </w:rPr>
        <w:t xml:space="preserve">«О назначении публичных слушаний по проекту </w:t>
      </w:r>
      <w:r>
        <w:rPr>
          <w:b w:val="false"/>
          <w:bCs w:val="false"/>
          <w:i w:val="false"/>
          <w:iCs w:val="false"/>
          <w:color w:val="000000"/>
          <w:sz w:val="28"/>
          <w:szCs w:val="28"/>
          <w:lang w:val="ru-RU"/>
        </w:rPr>
        <w:t>с</w:t>
      </w:r>
      <w:r>
        <w:rPr>
          <w:b w:val="false"/>
          <w:bCs w:val="false"/>
          <w:i w:val="false"/>
          <w:iCs w:val="false"/>
          <w:color w:val="000000"/>
          <w:sz w:val="28"/>
          <w:szCs w:val="28"/>
        </w:rPr>
        <w:t xml:space="preserve">хемы теплоснабжения Камышловского городского округа на период до 2036 года </w:t>
      </w:r>
      <w:r>
        <w:rPr>
          <w:b w:val="false"/>
          <w:bCs w:val="false"/>
          <w:i w:val="false"/>
          <w:iCs w:val="false"/>
          <w:color w:val="000000"/>
          <w:sz w:val="28"/>
          <w:szCs w:val="28"/>
          <w:lang w:val="en-US"/>
        </w:rPr>
        <w:t>(</w:t>
      </w:r>
      <w:r>
        <w:rPr>
          <w:b w:val="false"/>
          <w:bCs w:val="false"/>
          <w:i w:val="false"/>
          <w:iCs w:val="false"/>
          <w:color w:val="000000"/>
          <w:sz w:val="28"/>
          <w:szCs w:val="28"/>
          <w:lang w:val="ru-RU"/>
        </w:rPr>
        <w:t>а</w:t>
      </w:r>
      <w:r>
        <w:rPr>
          <w:b w:val="false"/>
          <w:bCs w:val="false"/>
          <w:i w:val="false"/>
          <w:iCs w:val="false"/>
          <w:color w:val="000000"/>
          <w:sz w:val="28"/>
          <w:szCs w:val="28"/>
        </w:rPr>
        <w:t>ктуализация на 2021 год</w:t>
      </w:r>
      <w:r>
        <w:rPr>
          <w:b w:val="false"/>
          <w:bCs w:val="false"/>
          <w:i w:val="false"/>
          <w:iCs w:val="false"/>
          <w:color w:val="000000"/>
          <w:sz w:val="28"/>
          <w:szCs w:val="28"/>
          <w:lang w:val="en-US"/>
        </w:rPr>
        <w:t>)»</w:t>
      </w:r>
    </w:p>
    <w:p>
      <w:pPr>
        <w:pStyle w:val="Normal"/>
        <w:jc w:val="center"/>
        <w:rPr>
          <w:b/>
          <w:b/>
          <w:sz w:val="28"/>
          <w:szCs w:val="28"/>
        </w:rPr>
      </w:pPr>
      <w:r>
        <w:rPr>
          <w:b/>
          <w:sz w:val="28"/>
          <w:szCs w:val="28"/>
        </w:rPr>
      </w:r>
    </w:p>
    <w:p>
      <w:pPr>
        <w:pStyle w:val="Normal"/>
        <w:jc w:val="center"/>
        <w:rPr>
          <w:b/>
          <w:b/>
          <w:sz w:val="28"/>
          <w:szCs w:val="28"/>
        </w:rPr>
      </w:pPr>
      <w:r>
        <w:rPr/>
        <w:drawing>
          <wp:inline distT="0" distB="0" distL="0" distR="0">
            <wp:extent cx="1704340" cy="2303780"/>
            <wp:effectExtent l="0" t="0" r="0" b="0"/>
            <wp:docPr id="2" name="Рисунок 4" descr="C:\Users\попов\Deskt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попов\Desktop\48.jpg"/>
                    <pic:cNvPicPr>
                      <a:picLocks noChangeAspect="1" noChangeArrowheads="1"/>
                    </pic:cNvPicPr>
                  </pic:nvPicPr>
                  <pic:blipFill>
                    <a:blip r:embed="rId3"/>
                    <a:stretch>
                      <a:fillRect/>
                    </a:stretch>
                  </pic:blipFill>
                  <pic:spPr bwMode="auto">
                    <a:xfrm>
                      <a:off x="0" y="0"/>
                      <a:ext cx="1704340" cy="2303780"/>
                    </a:xfrm>
                    <a:prstGeom prst="rect">
                      <a:avLst/>
                    </a:prstGeom>
                  </pic:spPr>
                </pic:pic>
              </a:graphicData>
            </a:graphic>
          </wp:inline>
        </w:drawing>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ind w:firstLine="284"/>
        <w:jc w:val="center"/>
        <w:rPr>
          <w:b/>
          <w:b/>
          <w:sz w:val="28"/>
          <w:szCs w:val="28"/>
        </w:rPr>
      </w:pPr>
      <w:r>
        <w:rPr>
          <w:b/>
          <w:sz w:val="28"/>
          <w:szCs w:val="28"/>
        </w:rPr>
      </w:r>
    </w:p>
    <w:p>
      <w:pPr>
        <w:pStyle w:val="Normal"/>
        <w:ind w:firstLine="284"/>
        <w:jc w:val="center"/>
        <w:rPr>
          <w:b/>
          <w:b/>
          <w:sz w:val="28"/>
          <w:szCs w:val="28"/>
        </w:rPr>
      </w:pPr>
      <w:r>
        <w:rPr>
          <w:b/>
          <w:sz w:val="28"/>
          <w:szCs w:val="28"/>
        </w:rPr>
      </w:r>
    </w:p>
    <w:p>
      <w:pPr>
        <w:pStyle w:val="Style117"/>
        <w:rPr/>
      </w:pPr>
      <w:r>
        <w:rPr/>
        <w:t xml:space="preserve">ТОМ 1. УТВЕРЖДАЕМАЯ ЧАСТЬ </w:t>
      </w:r>
    </w:p>
    <w:p>
      <w:pPr>
        <w:pStyle w:val="Style117"/>
        <w:rPr>
          <w:b w:val="false"/>
          <w:b w:val="false"/>
        </w:rPr>
      </w:pPr>
      <w:r>
        <w:rPr>
          <w:b w:val="false"/>
        </w:rPr>
        <w:t xml:space="preserve">схемы теплоснабжения Камышловского городского округа </w:t>
      </w:r>
    </w:p>
    <w:p>
      <w:pPr>
        <w:pStyle w:val="Style117"/>
        <w:rPr>
          <w:b w:val="false"/>
          <w:b w:val="false"/>
        </w:rPr>
      </w:pPr>
      <w:r>
        <w:rPr>
          <w:b w:val="false"/>
        </w:rPr>
        <w:t>на период до 2036 года</w:t>
      </w:r>
    </w:p>
    <w:p>
      <w:pPr>
        <w:pStyle w:val="Style117"/>
        <w:rPr>
          <w:b w:val="false"/>
          <w:b w:val="false"/>
        </w:rPr>
      </w:pPr>
      <w:r>
        <w:rPr>
          <w:b w:val="false"/>
        </w:rPr>
        <w:t>Актуализация на 2021 год</w:t>
      </w:r>
    </w:p>
    <w:p>
      <w:pPr>
        <w:pStyle w:val="Style117"/>
        <w:rPr>
          <w:b w:val="false"/>
          <w:b w:val="false"/>
        </w:rPr>
      </w:pPr>
      <w:r>
        <w:rPr>
          <w:b w:val="false"/>
        </w:rPr>
      </w:r>
    </w:p>
    <w:p>
      <w:pPr>
        <w:pStyle w:val="Style117"/>
        <w:rPr>
          <w:b w:val="false"/>
          <w:b w:val="false"/>
        </w:rPr>
      </w:pPr>
      <w:r>
        <w:rPr>
          <w:b w:val="false"/>
        </w:rPr>
      </w:r>
    </w:p>
    <w:p>
      <w:pPr>
        <w:pStyle w:val="Style117"/>
        <w:rPr>
          <w:b w:val="false"/>
          <w:b w:val="false"/>
        </w:rPr>
      </w:pPr>
      <w:r>
        <w:rPr>
          <w:b w:val="false"/>
        </w:rPr>
      </w:r>
    </w:p>
    <w:p>
      <w:pPr>
        <w:pStyle w:val="Style117"/>
        <w:jc w:val="left"/>
        <w:rPr>
          <w:b w:val="false"/>
          <w:b w:val="false"/>
        </w:rPr>
      </w:pPr>
      <w:r>
        <w:rPr>
          <w:b w:val="false"/>
        </w:rPr>
      </w:r>
    </w:p>
    <w:p>
      <w:pPr>
        <w:pStyle w:val="Style117"/>
        <w:jc w:val="left"/>
        <w:rPr>
          <w:b w:val="false"/>
          <w:b w:val="false"/>
        </w:rPr>
      </w:pPr>
      <w:r>
        <w:rPr>
          <w:b w:val="false"/>
        </w:rPr>
      </w:r>
    </w:p>
    <w:p>
      <w:pPr>
        <w:pStyle w:val="Style117"/>
        <w:jc w:val="left"/>
        <w:rPr>
          <w:b w:val="false"/>
          <w:b w:val="false"/>
        </w:rPr>
      </w:pPr>
      <w:r>
        <w:rPr>
          <w:b w:val="false"/>
        </w:rPr>
      </w:r>
    </w:p>
    <w:p>
      <w:pPr>
        <w:pStyle w:val="Style117"/>
        <w:rPr/>
      </w:pPr>
      <w:r>
        <mc:AlternateContent>
          <mc:Choice Requires="wps">
            <w:drawing>
              <wp:anchor behindDoc="0" distT="0" distB="0" distL="0" distR="0" simplePos="0" locked="0" layoutInCell="1" allowOverlap="1" relativeHeight="2" wp14:anchorId="33E2F72C">
                <wp:simplePos x="0" y="0"/>
                <wp:positionH relativeFrom="column">
                  <wp:posOffset>5494020</wp:posOffset>
                </wp:positionH>
                <wp:positionV relativeFrom="paragraph">
                  <wp:posOffset>25400</wp:posOffset>
                </wp:positionV>
                <wp:extent cx="1126490" cy="949325"/>
                <wp:effectExtent l="13335" t="6985" r="8890" b="11430"/>
                <wp:wrapNone/>
                <wp:docPr id="3" name="Rectangle 24"/>
                <a:graphic xmlns:a="http://schemas.openxmlformats.org/drawingml/2006/main">
                  <a:graphicData uri="http://schemas.microsoft.com/office/word/2010/wordprocessingShape">
                    <wps:wsp>
                      <wps:cNvSpPr/>
                      <wps:spPr>
                        <a:xfrm>
                          <a:off x="0" y="0"/>
                          <a:ext cx="1125720" cy="948600"/>
                        </a:xfrm>
                        <a:prstGeom prst="rect">
                          <a:avLst/>
                        </a:prstGeom>
                        <a:solidFill>
                          <a:schemeClr val="bg1">
                            <a:lumMod val="100000"/>
                            <a:lumOff val="0"/>
                          </a:schemeClr>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v:rect id="shape_0" ID="Rectangle 24" fillcolor="white" stroked="t" style="position:absolute;margin-left:432.6pt;margin-top:2pt;width:88.6pt;height:74.65pt" wp14:anchorId="33E2F72C">
                <w10:wrap type="none"/>
                <v:fill o:detectmouseclick="t" type="solid" color2="black"/>
                <v:stroke color="white" weight="9360" joinstyle="miter" endcap="flat"/>
              </v:rect>
            </w:pict>
          </mc:Fallback>
        </mc:AlternateContent>
      </w:r>
      <w:r>
        <w:rPr>
          <w:b w:val="false"/>
          <w:sz w:val="24"/>
          <w:szCs w:val="24"/>
        </w:rPr>
        <w:t>Камышлов, 2020</w:t>
      </w:r>
    </w:p>
    <w:p>
      <w:pPr>
        <w:pStyle w:val="137"/>
        <w:spacing w:before="240" w:after="240"/>
        <w:rPr/>
      </w:pPr>
      <w:r>
        <w:rPr/>
        <w:t>СОДЕРЖАНИЕ</w:t>
      </w:r>
    </w:p>
    <w:p>
      <w:pPr>
        <w:sectPr>
          <w:headerReference w:type="default" r:id="rId4"/>
          <w:footerReference w:type="default" r:id="rId5"/>
          <w:type w:val="nextPage"/>
          <w:pgSz w:w="11906" w:h="16838"/>
          <w:pgMar w:left="1134" w:right="567" w:header="1134" w:top="1693" w:footer="0" w:bottom="1134" w:gutter="0"/>
          <w:pgNumType w:fmt="decimal"/>
          <w:formProt w:val="false"/>
          <w:textDirection w:val="lrTb"/>
          <w:docGrid w:type="default" w:linePitch="360" w:charSpace="0"/>
        </w:sectPr>
      </w:pPr>
    </w:p>
    <w:p>
      <w:pPr>
        <w:pStyle w:val="Normal"/>
        <w:spacing w:before="240" w:after="240"/>
        <w:rPr/>
      </w:pPr>
      <w:r>
        <w:rPr/>
      </w:r>
    </w:p>
    <w:sdt>
      <w:sdtPr>
        <w:docPartObj>
          <w:docPartGallery w:val="Table of Contents"/>
          <w:docPartUnique w:val="true"/>
        </w:docPartObj>
      </w:sdtPr>
      <w:sdtContent>
        <w:p>
          <w:pPr>
            <w:pStyle w:val="137"/>
            <w:tabs>
              <w:tab w:val="right" w:pos="10194" w:leader="dot"/>
            </w:tabs>
            <w:spacing w:lineRule="auto" w:line="276"/>
            <w:jc w:val="center"/>
            <w:rPr>
              <w:rFonts w:ascii="Calibri" w:hAnsi="Calibri" w:eastAsia="" w:cs="" w:asciiTheme="minorHAnsi" w:cstheme="minorBidi" w:eastAsiaTheme="minorEastAsia" w:hAnsiTheme="minorHAnsi"/>
              <w:b w:val="false"/>
              <w:b w:val="false"/>
              <w:bCs w:val="false"/>
              <w:caps w:val="false"/>
              <w:smallCaps w:val="false"/>
              <w:sz w:val="22"/>
              <w:szCs w:val="22"/>
              <w:lang w:eastAsia="ru-RU"/>
            </w:rPr>
          </w:pPr>
          <w:r>
            <w:fldChar w:fldCharType="begin"/>
          </w:r>
          <w:r>
            <w:rPr>
              <w:webHidden/>
              <w:rStyle w:val="Style63"/>
              <w:caps/>
              <w:b/>
              <w:bCs/>
              <w:vanish w:val="false"/>
              <w:rFonts w:eastAsia="Calibri"/>
            </w:rPr>
            <w:instrText> TOC \z \o "1-2" \u \h</w:instrText>
          </w:r>
          <w:r>
            <w:rPr>
              <w:webHidden/>
              <w:rStyle w:val="Style63"/>
              <w:caps/>
              <w:b/>
              <w:bCs/>
              <w:vanish w:val="false"/>
              <w:rFonts w:eastAsia="Calibri"/>
            </w:rPr>
            <w:fldChar w:fldCharType="separate"/>
          </w:r>
          <w:hyperlink w:anchor="_Toc50093548">
            <w:r>
              <w:rPr>
                <w:webHidden/>
              </w:rPr>
              <w:fldChar w:fldCharType="begin"/>
            </w:r>
            <w:r>
              <w:rPr>
                <w:webHidden/>
              </w:rPr>
              <w:instrText>PAGEREF _Toc50093548 \h</w:instrText>
            </w:r>
            <w:r>
              <w:rPr>
                <w:webHidden/>
              </w:rPr>
              <w:fldChar w:fldCharType="separate"/>
            </w:r>
            <w:r>
              <w:rPr>
                <w:webHidden/>
                <w:rStyle w:val="Style63"/>
                <w:rFonts w:eastAsia="Calibri"/>
                <w:b/>
                <w:bCs/>
                <w:caps/>
                <w:vanish w:val="false"/>
                <w:lang w:eastAsia="en-US"/>
              </w:rPr>
              <w:t>Введение</w:t>
              <w:tab/>
              <w:t>5</w:t>
            </w:r>
            <w:r>
              <w:rPr>
                <w:webHidden/>
              </w:rPr>
              <w:fldChar w:fldCharType="end"/>
            </w:r>
          </w:hyperlink>
        </w:p>
        <w:p>
          <w:pPr>
            <w:pStyle w:val="137"/>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49">
            <w:r>
              <w:rPr>
                <w:webHidden/>
              </w:rPr>
              <w:fldChar w:fldCharType="begin"/>
            </w:r>
            <w:r>
              <w:rPr>
                <w:webHidden/>
              </w:rPr>
              <w:instrText>PAGEREF _Toc50093549 \h</w:instrText>
            </w:r>
            <w:r>
              <w:rPr>
                <w:webHidden/>
              </w:rPr>
              <w:fldChar w:fldCharType="separate"/>
            </w:r>
            <w:r>
              <w:rPr>
                <w:webHidden/>
                <w:rStyle w:val="Style63"/>
                <w:vanish w:val="false"/>
              </w:rPr>
              <w:t>Общие сведения</w:t>
              <w:tab/>
              <w:t>7</w:t>
            </w:r>
            <w:r>
              <w:rPr>
                <w:webHidden/>
              </w:rPr>
              <w:fldChar w:fldCharType="end"/>
            </w:r>
          </w:hyperlink>
        </w:p>
        <w:p>
          <w:pPr>
            <w:pStyle w:val="137"/>
            <w:jc w:val="left"/>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50">
            <w:r>
              <w:rPr>
                <w:webHidden/>
              </w:rPr>
              <w:fldChar w:fldCharType="begin"/>
            </w:r>
            <w:r>
              <w:rPr>
                <w:webHidden/>
              </w:rPr>
              <w:instrText>PAGEREF _Toc50093550 \h</w:instrText>
            </w:r>
            <w:r>
              <w:rPr>
                <w:webHidden/>
              </w:rPr>
              <w:fldChar w:fldCharType="separate"/>
            </w:r>
            <w:r>
              <w:rPr>
                <w:webHidden/>
                <w:rStyle w:val="Style63"/>
                <w:vanish w:val="fals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tab/>
              <w:t>9</w:t>
            </w:r>
            <w:r>
              <w:rPr>
                <w:webHidden/>
              </w:rPr>
              <w:fldChar w:fldCharType="end"/>
            </w:r>
          </w:hyperlink>
        </w:p>
        <w:p>
          <w:pPr>
            <w:pStyle w:val="137"/>
            <w:jc w:val="left"/>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51">
            <w:r>
              <w:rPr>
                <w:webHidden/>
              </w:rPr>
              <w:fldChar w:fldCharType="begin"/>
            </w:r>
            <w:r>
              <w:rPr>
                <w:webHidden/>
              </w:rPr>
              <w:instrText>PAGEREF _Toc50093551 \h</w:instrText>
            </w:r>
            <w:r>
              <w:rPr>
                <w:webHidden/>
              </w:rPr>
              <w:fldChar w:fldCharType="separate"/>
            </w:r>
            <w:r>
              <w:rPr>
                <w:webHidden/>
                <w:rStyle w:val="Style63"/>
                <w:vanish w:val="false"/>
              </w:rPr>
              <w:t>Раздел 2. Существующие и перспективные балансы тепловой мощности источников тепловой энергии и тепловой нагрузки потребителей</w:t>
              <w:tab/>
              <w:t>23</w:t>
            </w:r>
            <w:r>
              <w:rPr>
                <w:webHidden/>
              </w:rPr>
              <w:fldChar w:fldCharType="end"/>
            </w:r>
          </w:hyperlink>
        </w:p>
        <w:p>
          <w:pPr>
            <w:pStyle w:val="137"/>
            <w:rPr/>
          </w:pPr>
          <w:hyperlink w:anchor="_Toc50093552">
            <w:r>
              <w:rPr>
                <w:webHidden/>
                <w:rStyle w:val="Style63"/>
                <w:vanish w:val="false"/>
              </w:rPr>
              <w:t>Раздел 3. Существующие и пе</w:t>
            </w:r>
            <w:r>
              <w:rPr>
                <w:rStyle w:val="Style63"/>
                <w:rFonts w:eastAsia="Calibri" w:eastAsiaTheme="minorHAnsi"/>
              </w:rPr>
              <w:t>рспективные балансы теплоносителя</w:t>
            </w:r>
            <w:r>
              <w:rPr>
                <w:rStyle w:val="Style63"/>
                <w:vanish w:val="false"/>
              </w:rPr>
              <w:tab/>
              <w:t>5</w:t>
            </w:r>
          </w:hyperlink>
          <w:r>
            <w:rPr>
              <w:rFonts w:eastAsia="" w:cs="" w:cstheme="minorBidi" w:eastAsiaTheme="minorEastAsia"/>
              <w:b/>
              <w:bCs/>
              <w:caps w:val="false"/>
              <w:smallCaps w:val="false"/>
              <w:vanish w:val="false"/>
              <w:sz w:val="24"/>
              <w:szCs w:val="24"/>
              <w:lang w:eastAsia="ru-RU"/>
            </w:rPr>
            <w:t>7</w:t>
          </w:r>
        </w:p>
        <w:p>
          <w:pPr>
            <w:pStyle w:val="137"/>
            <w:jc w:val="left"/>
            <w:rPr/>
          </w:pPr>
          <w:hyperlink w:anchor="_Toc50093553">
            <w:r>
              <w:rPr>
                <w:webHidden/>
                <w:rStyle w:val="Style63"/>
                <w:vanish w:val="false"/>
              </w:rPr>
              <w:t>Раздел 4. Основные положения мастер-плана развития систем теплоснабжения</w:t>
              <w:tab/>
              <w:t>6</w:t>
            </w:r>
          </w:hyperlink>
          <w:r>
            <w:rPr>
              <w:vanish w:val="false"/>
            </w:rPr>
            <w:t>2</w:t>
          </w:r>
        </w:p>
        <w:p>
          <w:pPr>
            <w:pStyle w:val="137"/>
            <w:jc w:val="left"/>
            <w:rPr/>
          </w:pPr>
          <w:hyperlink w:anchor="_Toc50093554">
            <w:r>
              <w:rPr>
                <w:webHidden/>
                <w:rStyle w:val="Style63"/>
                <w:vanish w:val="false"/>
              </w:rPr>
              <w:t>Раздел 5. Предложения по строительству, реконструкции и техническому перевооружению источников тепловой энергии</w:t>
              <w:tab/>
              <w:t>6</w:t>
            </w:r>
          </w:hyperlink>
          <w:r>
            <w:rPr>
              <w:rFonts w:eastAsia="" w:cs="" w:cstheme="minorBidi" w:eastAsiaTheme="minorEastAsia"/>
              <w:b/>
              <w:bCs/>
              <w:caps w:val="false"/>
              <w:smallCaps w:val="false"/>
              <w:vanish w:val="false"/>
              <w:sz w:val="24"/>
              <w:szCs w:val="24"/>
              <w:lang w:eastAsia="ru-RU"/>
            </w:rPr>
            <w:t>4</w:t>
          </w:r>
        </w:p>
        <w:p>
          <w:pPr>
            <w:pStyle w:val="223"/>
            <w:tabs>
              <w:tab w:val="clear" w:pos="709"/>
              <w:tab w:val="right" w:pos="10195" w:leader="dot"/>
            </w:tabs>
            <w:rPr/>
          </w:pPr>
          <w:hyperlink w:anchor="_Toc50093555">
            <w:r>
              <w:rPr>
                <w:webHidden/>
                <w:rStyle w:val="Style63"/>
                <w:vanish w:val="false"/>
              </w:rPr>
              <w:t>5.1 Определение условий организации централизованного теплоснабжения, индивидуального теплоснабжения, а также поквартирного отопления</w:t>
              <w:tab/>
              <w:t>6</w:t>
            </w:r>
          </w:hyperlink>
          <w:r>
            <w:rPr>
              <w:rFonts w:eastAsia="" w:cs="" w:ascii="Calibri" w:hAnsi="Calibri" w:asciiTheme="minorHAnsi" w:cstheme="minorBidi" w:eastAsiaTheme="minorEastAsia" w:hAnsiTheme="minorHAnsi"/>
              <w:bCs w:val="false"/>
              <w:vanish w:val="false"/>
              <w:sz w:val="22"/>
              <w:szCs w:val="22"/>
              <w:lang w:eastAsia="ru-RU"/>
            </w:rPr>
            <w:t>4</w:t>
          </w:r>
        </w:p>
        <w:p>
          <w:pPr>
            <w:pStyle w:val="223"/>
            <w:tabs>
              <w:tab w:val="clear" w:pos="709"/>
              <w:tab w:val="right" w:pos="10195" w:leader="dot"/>
            </w:tabs>
            <w:rPr/>
          </w:pPr>
          <w:hyperlink w:anchor="_Toc50093556">
            <w:r>
              <w:rPr>
                <w:webHidden/>
                <w:rStyle w:val="Style63"/>
                <w:vanish w:val="false"/>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tab/>
              <w:t>6</w:t>
            </w:r>
          </w:hyperlink>
          <w:r>
            <w:rPr>
              <w:vanish w:val="false"/>
            </w:rPr>
            <w:t>4</w:t>
          </w:r>
        </w:p>
        <w:p>
          <w:pPr>
            <w:pStyle w:val="223"/>
            <w:tabs>
              <w:tab w:val="clear" w:pos="709"/>
              <w:tab w:val="right" w:pos="10195" w:leader="dot"/>
            </w:tabs>
            <w:rPr/>
          </w:pPr>
          <w:hyperlink w:anchor="_Toc50093557">
            <w:r>
              <w:rPr>
                <w:webHidden/>
                <w:rStyle w:val="Style63"/>
                <w:vanish w:val="false"/>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tab/>
              <w:t>6</w:t>
            </w:r>
          </w:hyperlink>
          <w:r>
            <w:rPr>
              <w:rFonts w:eastAsia="" w:cs="" w:ascii="Calibri" w:hAnsi="Calibri" w:asciiTheme="minorHAnsi" w:cstheme="minorBidi" w:eastAsiaTheme="minorEastAsia" w:hAnsiTheme="minorHAnsi"/>
              <w:bCs w:val="false"/>
              <w:vanish w:val="false"/>
              <w:sz w:val="22"/>
              <w:szCs w:val="22"/>
              <w:lang w:eastAsia="ru-RU"/>
            </w:rPr>
            <w:t>4</w:t>
          </w:r>
        </w:p>
        <w:p>
          <w:pPr>
            <w:pStyle w:val="223"/>
            <w:tabs>
              <w:tab w:val="clear" w:pos="709"/>
              <w:tab w:val="right" w:pos="10195" w:leader="dot"/>
            </w:tabs>
            <w:rPr/>
          </w:pPr>
          <w:hyperlink w:anchor="_Toc50093558">
            <w:r>
              <w:rPr>
                <w:webHidden/>
                <w:rStyle w:val="Style63"/>
                <w:vanish w:val="false"/>
              </w:rPr>
              <w:t>5.4 Обоснование предлагаемых для строительства и реконструкции источников тепловой энергии</w:t>
              <w:tab/>
              <w:t>6</w:t>
            </w:r>
          </w:hyperlink>
          <w:r>
            <w:rPr>
              <w:rFonts w:eastAsia="" w:cs="" w:ascii="Calibri" w:hAnsi="Calibri" w:asciiTheme="minorHAnsi" w:cstheme="minorBidi" w:eastAsiaTheme="minorEastAsia" w:hAnsiTheme="minorHAnsi"/>
              <w:bCs w:val="false"/>
              <w:vanish w:val="false"/>
              <w:sz w:val="22"/>
              <w:szCs w:val="22"/>
              <w:lang w:eastAsia="ru-RU"/>
            </w:rPr>
            <w:t>5</w:t>
          </w:r>
        </w:p>
        <w:p>
          <w:pPr>
            <w:pStyle w:val="223"/>
            <w:tabs>
              <w:tab w:val="clear" w:pos="709"/>
              <w:tab w:val="right" w:pos="10195" w:leader="dot"/>
            </w:tabs>
            <w:rPr/>
          </w:pPr>
          <w:hyperlink w:anchor="_Toc50093559">
            <w:r>
              <w:rPr>
                <w:webHidden/>
                <w:rStyle w:val="Style63"/>
                <w:vanish w:val="false"/>
              </w:rPr>
              <w:t>5.5 Обоснование предлагаемых для реконструкции источников тепловой энергии, функционирующих в режиме комбинированной выработки электрической и тепловой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0">
            <w:r>
              <w:rPr>
                <w:webHidden/>
                <w:rStyle w:val="Style63"/>
                <w:vanish w:val="false"/>
                <w:sz w:val="20"/>
                <w:szCs w:val="20"/>
              </w:rPr>
              <w:t>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1">
            <w:r>
              <w:rPr>
                <w:webHidden/>
                <w:rStyle w:val="Style63"/>
                <w:vanish w:val="false"/>
                <w:sz w:val="20"/>
                <w:szCs w:val="20"/>
              </w:rPr>
              <w:t>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2">
            <w:r>
              <w:rPr>
                <w:webHidden/>
                <w:rStyle w:val="Style63"/>
                <w:vanish w:val="false"/>
              </w:rPr>
              <w:t>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тепловой и электрической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3">
            <w:r>
              <w:rPr>
                <w:webHidden/>
                <w:rStyle w:val="Style63"/>
                <w:vanish w:val="false"/>
              </w:rPr>
              <w:t>5.9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4">
            <w:r>
              <w:rPr>
                <w:webHidden/>
                <w:rStyle w:val="Style63"/>
                <w:vanish w:val="false"/>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5">
            <w:r>
              <w:rPr>
                <w:webHidden/>
                <w:rStyle w:val="Style63"/>
                <w:vanish w:val="false"/>
              </w:rPr>
              <w:t>5.11 Обоснование мероприятий по повышению надежности источников теплоснабжения</w:t>
              <w:tab/>
            </w:r>
          </w:hyperlink>
          <w:r>
            <w:rPr>
              <w:rFonts w:eastAsia="" w:cs="" w:cstheme="minorBidi" w:eastAsiaTheme="minorEastAsia"/>
              <w:bCs w:val="false"/>
              <w:vanish w:val="false"/>
              <w:sz w:val="20"/>
              <w:szCs w:val="20"/>
              <w:lang w:eastAsia="ru-RU"/>
            </w:rPr>
            <w:t>70</w:t>
          </w:r>
        </w:p>
        <w:p>
          <w:pPr>
            <w:pStyle w:val="223"/>
            <w:tabs>
              <w:tab w:val="clear" w:pos="709"/>
              <w:tab w:val="right" w:pos="10195" w:leader="dot"/>
            </w:tabs>
            <w:rPr/>
          </w:pPr>
          <w:hyperlink w:anchor="_Toc50093566">
            <w:r>
              <w:rPr>
                <w:webHidden/>
                <w:rStyle w:val="Style63"/>
                <w:vanish w:val="false"/>
              </w:rPr>
              <w:t>5.12 Обоснование прочих мероприятий источников теплоснабжения</w:t>
              <w:tab/>
            </w:r>
            <w:r>
              <w:rPr>
                <w:rStyle w:val="Style63"/>
                <w:vanish w:val="false"/>
                <w:sz w:val="20"/>
                <w:szCs w:val="20"/>
              </w:rPr>
              <w:t>7</w:t>
            </w:r>
          </w:hyperlink>
          <w:r>
            <w:rPr>
              <w:rFonts w:eastAsia="" w:cs="" w:cstheme="minorBidi" w:eastAsiaTheme="minorEastAsia"/>
              <w:bCs w:val="false"/>
              <w:vanish w:val="false"/>
              <w:sz w:val="20"/>
              <w:szCs w:val="20"/>
              <w:lang w:eastAsia="ru-RU"/>
            </w:rPr>
            <w:t>1</w:t>
          </w:r>
        </w:p>
        <w:p>
          <w:pPr>
            <w:pStyle w:val="223"/>
            <w:tabs>
              <w:tab w:val="clear" w:pos="709"/>
              <w:tab w:val="right" w:pos="10195" w:leader="dot"/>
            </w:tabs>
            <w:rPr/>
          </w:pPr>
          <w:hyperlink w:anchor="_Toc50093567">
            <w:r>
              <w:rPr>
                <w:webHidden/>
                <w:rStyle w:val="Style63"/>
                <w:vanish w:val="false"/>
              </w:rPr>
              <w:t>5.13 Обоснование организации индивидуального теплоснабжения в зонах застройки поселения малоэтажными жилыми зданиями</w:t>
              <w:tab/>
              <w:t>7</w:t>
            </w:r>
          </w:hyperlink>
          <w:r>
            <w:rPr>
              <w:rFonts w:eastAsia="" w:cs="" w:cstheme="minorBidi" w:eastAsiaTheme="minorEastAsia"/>
              <w:bCs w:val="false"/>
              <w:vanish w:val="false"/>
              <w:sz w:val="20"/>
              <w:szCs w:val="20"/>
              <w:lang w:eastAsia="ru-RU"/>
            </w:rPr>
            <w:t>2</w:t>
          </w:r>
        </w:p>
        <w:p>
          <w:pPr>
            <w:pStyle w:val="223"/>
            <w:tabs>
              <w:tab w:val="clear" w:pos="709"/>
              <w:tab w:val="right" w:pos="10195" w:leader="dot"/>
            </w:tabs>
            <w:rPr/>
          </w:pPr>
          <w:hyperlink w:anchor="_Toc50093568">
            <w:r>
              <w:rPr>
                <w:webHidden/>
                <w:rStyle w:val="Style63"/>
                <w:vanish w:val="false"/>
              </w:rPr>
              <w:t>5.14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tab/>
              <w:t>7</w:t>
            </w:r>
          </w:hyperlink>
          <w:r>
            <w:rPr>
              <w:rFonts w:eastAsia="" w:cs="" w:cstheme="minorBidi" w:eastAsiaTheme="minorEastAsia"/>
              <w:bCs w:val="false"/>
              <w:vanish w:val="false"/>
              <w:sz w:val="20"/>
              <w:szCs w:val="20"/>
              <w:lang w:eastAsia="ru-RU"/>
            </w:rPr>
            <w:t>2</w:t>
          </w:r>
        </w:p>
        <w:p>
          <w:pPr>
            <w:pStyle w:val="223"/>
            <w:tabs>
              <w:tab w:val="clear" w:pos="709"/>
              <w:tab w:val="right" w:pos="10195" w:leader="dot"/>
            </w:tabs>
            <w:rPr/>
          </w:pPr>
          <w:hyperlink w:anchor="_Toc50093569">
            <w:r>
              <w:rPr>
                <w:webHidden/>
                <w:rStyle w:val="Style63"/>
                <w:vanish w:val="false"/>
              </w:rPr>
              <w:t>5.15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tab/>
              <w:t>7</w:t>
            </w:r>
          </w:hyperlink>
          <w:r>
            <w:rPr>
              <w:rFonts w:eastAsia="" w:cs="" w:cstheme="minorBidi" w:eastAsiaTheme="minorEastAsia"/>
              <w:bCs w:val="false"/>
              <w:vanish w:val="false"/>
              <w:sz w:val="20"/>
              <w:szCs w:val="20"/>
              <w:lang w:eastAsia="ru-RU"/>
            </w:rPr>
            <w:t>2</w:t>
          </w:r>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70">
            <w:r>
              <w:rPr>
                <w:webHidden/>
              </w:rPr>
              <w:fldChar w:fldCharType="begin"/>
            </w:r>
            <w:r>
              <w:rPr>
                <w:webHidden/>
              </w:rPr>
              <w:instrText>PAGEREF _Toc50093570 \h</w:instrText>
            </w:r>
            <w:r>
              <w:rPr>
                <w:webHidden/>
              </w:rPr>
              <w:fldChar w:fldCharType="separate"/>
            </w:r>
            <w:r>
              <w:rPr>
                <w:webHidden/>
                <w:rStyle w:val="Style63"/>
                <w:vanish w:val="false"/>
              </w:rPr>
              <w:t>5.16 Обоснование организации теплоснабжения в производственных зонах на территории поселения, городского округа</w:t>
              <w:tab/>
              <w:t>72</w:t>
            </w:r>
            <w:r>
              <w:rPr>
                <w:webHidden/>
              </w:rPr>
              <w:fldChar w:fldCharType="end"/>
            </w:r>
          </w:hyperlink>
        </w:p>
        <w:p>
          <w:pPr>
            <w:pStyle w:val="137"/>
            <w:jc w:val="left"/>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71">
            <w:r>
              <w:rPr>
                <w:webHidden/>
              </w:rPr>
              <w:fldChar w:fldCharType="begin"/>
            </w:r>
            <w:r>
              <w:rPr>
                <w:webHidden/>
              </w:rPr>
              <w:instrText>PAGEREF _Toc50093571 \h</w:instrText>
            </w:r>
            <w:r>
              <w:rPr>
                <w:webHidden/>
              </w:rPr>
              <w:fldChar w:fldCharType="separate"/>
            </w:r>
            <w:r>
              <w:rPr>
                <w:webHidden/>
                <w:rStyle w:val="Style63"/>
                <w:vanish w:val="false"/>
              </w:rPr>
              <w:t>Раздел 6. Предложения по строительству и реконструкции тепловых сетей</w:t>
              <w:tab/>
              <w:t>73</w:t>
            </w:r>
            <w:r>
              <w:rPr>
                <w:webHidden/>
              </w:rPr>
              <w:fldChar w:fldCharType="end"/>
            </w:r>
          </w:hyperlink>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72">
            <w:r>
              <w:rPr>
                <w:webHidden/>
              </w:rPr>
              <w:fldChar w:fldCharType="begin"/>
            </w:r>
            <w:r>
              <w:rPr>
                <w:webHidden/>
              </w:rPr>
              <w:instrText>PAGEREF _Toc50093572 \h</w:instrText>
            </w:r>
            <w:r>
              <w:rPr>
                <w:webHidden/>
              </w:rPr>
              <w:fldChar w:fldCharType="separate"/>
            </w:r>
            <w:r>
              <w:rPr>
                <w:webHidden/>
                <w:rStyle w:val="Style63"/>
                <w:vanish w:val="false"/>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tab/>
              <w:t>73</w:t>
            </w:r>
            <w:r>
              <w:rPr>
                <w:webHidden/>
              </w:rPr>
              <w:fldChar w:fldCharType="end"/>
            </w:r>
          </w:hyperlink>
        </w:p>
        <w:p>
          <w:pPr>
            <w:pStyle w:val="223"/>
            <w:tabs>
              <w:tab w:val="clear" w:pos="709"/>
              <w:tab w:val="right" w:pos="10195" w:leader="dot"/>
            </w:tabs>
            <w:rPr/>
          </w:pPr>
          <w:hyperlink w:anchor="_Toc50093573">
            <w:r>
              <w:rPr>
                <w:webHidden/>
              </w:rPr>
              <w:fldChar w:fldCharType="begin"/>
            </w:r>
            <w:r>
              <w:rPr>
                <w:webHidden/>
              </w:rPr>
              <w:instrText>PAGEREF _Toc50093573 \h</w:instrText>
            </w:r>
            <w:r>
              <w:rPr>
                <w:webHidden/>
              </w:rPr>
              <w:fldChar w:fldCharType="separate"/>
            </w:r>
            <w:r>
              <w:rPr>
                <w:webHidden/>
                <w:rStyle w:val="Style63"/>
                <w:vanish w:val="false"/>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tab/>
              <w:t>73</w:t>
            </w:r>
            <w:r>
              <w:rPr>
                <w:webHidden/>
              </w:rPr>
              <w:fldChar w:fldCharType="end"/>
            </w:r>
          </w:hyperlink>
        </w:p>
        <w:p>
          <w:pPr>
            <w:pStyle w:val="223"/>
            <w:tabs>
              <w:tab w:val="clear" w:pos="709"/>
              <w:tab w:val="right" w:pos="10195" w:leader="dot"/>
            </w:tabs>
            <w:rPr/>
          </w:pPr>
          <w:hyperlink w:anchor="_Toc50093574">
            <w:r>
              <w:rPr>
                <w:webHidden/>
              </w:rPr>
              <w:fldChar w:fldCharType="begin"/>
            </w:r>
            <w:r>
              <w:rPr>
                <w:webHidden/>
              </w:rPr>
              <w:instrText>PAGEREF _Toc50093574 \h</w:instrText>
            </w:r>
            <w:r>
              <w:rPr>
                <w:webHidden/>
              </w:rPr>
              <w:fldChar w:fldCharType="separate"/>
            </w:r>
            <w:r>
              <w:rPr>
                <w:webHidden/>
                <w:rStyle w:val="Style63"/>
                <w:vanish w:val="false"/>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tab/>
              <w:t>74</w:t>
            </w:r>
            <w:r>
              <w:rPr>
                <w:webHidden/>
              </w:rPr>
              <w:fldChar w:fldCharType="end"/>
            </w:r>
          </w:hyperlink>
        </w:p>
        <w:p>
          <w:pPr>
            <w:pStyle w:val="223"/>
            <w:tabs>
              <w:tab w:val="clear" w:pos="709"/>
              <w:tab w:val="right" w:pos="10195" w:leader="dot"/>
            </w:tabs>
            <w:rPr/>
          </w:pPr>
          <w:hyperlink w:anchor="_Toc50093575">
            <w:r>
              <w:rPr>
                <w:webHidden/>
                <w:rStyle w:val="Style63"/>
                <w:vanish w:val="false"/>
              </w:rPr>
              <w:t>6.4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hyperlink>
          <w:r>
            <w:rPr>
              <w:vanish w:val="false"/>
            </w:rPr>
            <w:tab/>
            <w:t>75</w:t>
          </w:r>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76">
            <w:r>
              <w:rPr>
                <w:webHidden/>
              </w:rPr>
              <w:fldChar w:fldCharType="begin"/>
            </w:r>
            <w:r>
              <w:rPr>
                <w:webHidden/>
              </w:rPr>
              <w:instrText>PAGEREF _Toc50093576 \h</w:instrText>
            </w:r>
            <w:r>
              <w:rPr>
                <w:webHidden/>
              </w:rPr>
              <w:fldChar w:fldCharType="separate"/>
            </w:r>
            <w:r>
              <w:rPr>
                <w:webHidden/>
                <w:rStyle w:val="Style63"/>
                <w:vanish w:val="false"/>
              </w:rPr>
              <w:t>6.5 Строительство тепловых сетей для обеспечения нормативной надежности теплоснабжения</w:t>
              <w:tab/>
              <w:t>75</w:t>
            </w:r>
            <w:r>
              <w:rPr>
                <w:webHidden/>
              </w:rPr>
              <w:fldChar w:fldCharType="end"/>
            </w:r>
          </w:hyperlink>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77">
            <w:r>
              <w:rPr>
                <w:webHidden/>
              </w:rPr>
              <w:fldChar w:fldCharType="begin"/>
            </w:r>
            <w:r>
              <w:rPr>
                <w:webHidden/>
              </w:rPr>
              <w:instrText>PAGEREF _Toc50093577 \h</w:instrText>
            </w:r>
            <w:r>
              <w:rPr>
                <w:webHidden/>
              </w:rPr>
              <w:fldChar w:fldCharType="separate"/>
            </w:r>
            <w:r>
              <w:rPr>
                <w:webHidden/>
                <w:rStyle w:val="Style63"/>
                <w:vanish w:val="false"/>
              </w:rPr>
              <w:t>6.6 Реконструкция тепловых сетей с увеличением диаметра трубопроводов для обеспечения перспективных приростов тепловой нагрузки</w:t>
              <w:tab/>
              <w:t>76</w:t>
            </w:r>
            <w:r>
              <w:rPr>
                <w:webHidden/>
              </w:rPr>
              <w:fldChar w:fldCharType="end"/>
            </w:r>
          </w:hyperlink>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78">
            <w:r>
              <w:rPr>
                <w:webHidden/>
              </w:rPr>
              <w:fldChar w:fldCharType="begin"/>
            </w:r>
            <w:r>
              <w:rPr>
                <w:webHidden/>
              </w:rPr>
              <w:instrText>PAGEREF _Toc50093578 \h</w:instrText>
            </w:r>
            <w:r>
              <w:rPr>
                <w:webHidden/>
              </w:rPr>
              <w:fldChar w:fldCharType="separate"/>
            </w:r>
            <w:r>
              <w:rPr>
                <w:webHidden/>
                <w:rStyle w:val="Style63"/>
                <w:vanish w:val="false"/>
              </w:rPr>
              <w:t>6.7 Реконструкция тепловых сетей, подлежащих замене в связи с исчерпанием эксплуатационного ресурса</w:t>
              <w:tab/>
              <w:t>76</w:t>
            </w:r>
            <w:r>
              <w:rPr>
                <w:webHidden/>
              </w:rPr>
              <w:fldChar w:fldCharType="end"/>
            </w:r>
          </w:hyperlink>
        </w:p>
        <w:p>
          <w:pPr>
            <w:pStyle w:val="223"/>
            <w:tabs>
              <w:tab w:val="clear" w:pos="709"/>
              <w:tab w:val="right" w:pos="10195" w:leader="dot"/>
            </w:tabs>
            <w:rPr/>
          </w:pPr>
          <w:hyperlink w:anchor="_Toc50093579">
            <w:r>
              <w:rPr>
                <w:webHidden/>
                <w:rStyle w:val="Style63"/>
                <w:vanish w:val="false"/>
              </w:rPr>
              <w:t>6.8 Строительство и реконструкция насосных станций</w:t>
              <w:tab/>
              <w:t>7</w:t>
            </w:r>
          </w:hyperlink>
          <w:r>
            <w:rPr>
              <w:rFonts w:eastAsia="" w:cs="" w:cstheme="minorBidi" w:eastAsiaTheme="minorEastAsia"/>
              <w:bCs w:val="false"/>
              <w:vanish w:val="false"/>
              <w:sz w:val="20"/>
              <w:szCs w:val="20"/>
              <w:lang w:eastAsia="ru-RU"/>
            </w:rPr>
            <w:t>7</w:t>
          </w:r>
        </w:p>
        <w:p>
          <w:pPr>
            <w:pStyle w:val="223"/>
            <w:tabs>
              <w:tab w:val="clear" w:pos="709"/>
              <w:tab w:val="right" w:pos="10195" w:leader="dot"/>
            </w:tabs>
            <w:rPr/>
          </w:pPr>
          <w:hyperlink w:anchor="_Toc50093580">
            <w:r>
              <w:rPr>
                <w:webHidden/>
                <w:rStyle w:val="Style63"/>
                <w:vanish w:val="false"/>
              </w:rPr>
              <w:t>6.9 Гидравлическая промывка систем теплопотребления</w:t>
              <w:tab/>
              <w:t>7</w:t>
            </w:r>
          </w:hyperlink>
          <w:r>
            <w:rPr>
              <w:rFonts w:eastAsia="" w:cs="" w:cstheme="minorBidi" w:eastAsiaTheme="minorEastAsia"/>
              <w:bCs w:val="false"/>
              <w:vanish w:val="false"/>
              <w:sz w:val="20"/>
              <w:szCs w:val="20"/>
              <w:lang w:eastAsia="ru-RU"/>
            </w:rPr>
            <w:t>7</w:t>
          </w:r>
        </w:p>
        <w:p>
          <w:pPr>
            <w:pStyle w:val="137"/>
            <w:jc w:val="left"/>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81">
            <w:r>
              <w:rPr>
                <w:webHidden/>
              </w:rPr>
              <w:fldChar w:fldCharType="begin"/>
            </w:r>
            <w:r>
              <w:rPr>
                <w:webHidden/>
              </w:rPr>
              <w:instrText>PAGEREF _Toc50093581 \h</w:instrText>
            </w:r>
            <w:r>
              <w:rPr>
                <w:webHidden/>
              </w:rPr>
              <w:fldChar w:fldCharType="separate"/>
            </w:r>
            <w:r>
              <w:rPr>
                <w:webHidden/>
                <w:rStyle w:val="Style63"/>
                <w:vanish w:val="false"/>
              </w:rPr>
              <w:t>Раздел 7. Предложения по переводу открытых систем теплоснабжения в закрытые системы</w:t>
              <w:tab/>
              <w:t>78</w:t>
            </w:r>
            <w:r>
              <w:rPr>
                <w:webHidden/>
              </w:rPr>
              <w:fldChar w:fldCharType="end"/>
            </w:r>
          </w:hyperlink>
        </w:p>
        <w:p>
          <w:pPr>
            <w:pStyle w:val="137"/>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82">
            <w:r>
              <w:rPr>
                <w:webHidden/>
              </w:rPr>
              <w:fldChar w:fldCharType="begin"/>
            </w:r>
            <w:r>
              <w:rPr>
                <w:webHidden/>
              </w:rPr>
              <w:instrText>PAGEREF _Toc50093582 \h</w:instrText>
            </w:r>
            <w:r>
              <w:rPr>
                <w:webHidden/>
              </w:rPr>
              <w:fldChar w:fldCharType="separate"/>
            </w:r>
            <w:r>
              <w:rPr>
                <w:webHidden/>
                <w:rStyle w:val="Style63"/>
                <w:vanish w:val="false"/>
              </w:rPr>
              <w:t>Раздел 8. Существующие и перспективные топливные балансы</w:t>
              <w:tab/>
              <w:t>79</w:t>
            </w:r>
            <w:r>
              <w:rPr>
                <w:webHidden/>
              </w:rPr>
              <w:fldChar w:fldCharType="end"/>
            </w:r>
          </w:hyperlink>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83">
            <w:r>
              <w:rPr>
                <w:webHidden/>
              </w:rPr>
              <w:fldChar w:fldCharType="begin"/>
            </w:r>
            <w:r>
              <w:rPr>
                <w:webHidden/>
              </w:rPr>
              <w:instrText>PAGEREF _Toc50093583 \h</w:instrText>
            </w:r>
            <w:r>
              <w:rPr>
                <w:webHidden/>
              </w:rPr>
              <w:fldChar w:fldCharType="separate"/>
            </w:r>
            <w:r>
              <w:rPr>
                <w:webHidden/>
                <w:rStyle w:val="Style63"/>
                <w:vanish w:val="false"/>
              </w:rPr>
              <w:t>10.2 Расчеты по каждому источнику тепловой энергии нормативных запасов аварийных видов топлива</w:t>
              <w:tab/>
              <w:t>79</w:t>
            </w:r>
            <w:r>
              <w:rPr>
                <w:webHidden/>
              </w:rPr>
              <w:fldChar w:fldCharType="end"/>
            </w:r>
          </w:hyperlink>
        </w:p>
        <w:p>
          <w:pPr>
            <w:pStyle w:val="223"/>
            <w:tabs>
              <w:tab w:val="clear" w:pos="709"/>
              <w:tab w:val="right" w:pos="10195" w:leader="dot"/>
            </w:tabs>
            <w:rPr>
              <w:rFonts w:ascii="Calibri" w:hAnsi="Calibri" w:eastAsia="" w:cs="" w:asciiTheme="minorHAnsi" w:cstheme="minorBidi" w:eastAsiaTheme="minorEastAsia" w:hAnsiTheme="minorHAnsi"/>
              <w:bCs w:val="false"/>
              <w:sz w:val="22"/>
              <w:szCs w:val="22"/>
              <w:lang w:eastAsia="ru-RU"/>
            </w:rPr>
          </w:pPr>
          <w:hyperlink w:anchor="_Toc50093584">
            <w:r>
              <w:rPr>
                <w:webHidden/>
              </w:rPr>
              <w:fldChar w:fldCharType="begin"/>
            </w:r>
            <w:r>
              <w:rPr>
                <w:webHidden/>
              </w:rPr>
              <w:instrText>PAGEREF _Toc50093584 \h</w:instrText>
            </w:r>
            <w:r>
              <w:rPr>
                <w:webHidden/>
              </w:rPr>
              <w:fldChar w:fldCharType="separate"/>
            </w:r>
            <w:r>
              <w:rPr>
                <w:webHidden/>
                <w:rStyle w:val="Style63"/>
                <w:vanish w:val="false"/>
              </w:rPr>
              <w:t>10.3 Вид топлива, потребляемый источником тепловой энергии, в том числе с использованием возобновляемых источников энергии и местных видов топлива</w:t>
              <w:tab/>
              <w:t>79</w:t>
            </w:r>
            <w:r>
              <w:rPr>
                <w:webHidden/>
              </w:rPr>
              <w:fldChar w:fldCharType="end"/>
            </w:r>
          </w:hyperlink>
        </w:p>
        <w:p>
          <w:pPr>
            <w:pStyle w:val="137"/>
            <w:rPr>
              <w:rFonts w:ascii="Calibri" w:hAnsi="Calibri" w:eastAsia="" w:cs="" w:asciiTheme="minorHAnsi" w:cstheme="minorBidi" w:eastAsiaTheme="minorEastAsia" w:hAnsiTheme="minorHAnsi"/>
              <w:b w:val="false"/>
              <w:b w:val="false"/>
              <w:bCs w:val="false"/>
              <w:caps w:val="false"/>
              <w:smallCaps w:val="false"/>
              <w:sz w:val="22"/>
              <w:szCs w:val="22"/>
              <w:lang w:eastAsia="ru-RU"/>
            </w:rPr>
          </w:pPr>
          <w:hyperlink w:anchor="_Toc50093585">
            <w:r>
              <w:rPr>
                <w:webHidden/>
              </w:rPr>
              <w:fldChar w:fldCharType="begin"/>
            </w:r>
            <w:r>
              <w:rPr>
                <w:webHidden/>
              </w:rPr>
              <w:instrText>PAGEREF _Toc50093585 \h</w:instrText>
            </w:r>
            <w:r>
              <w:rPr>
                <w:webHidden/>
              </w:rPr>
              <w:fldChar w:fldCharType="separate"/>
            </w:r>
            <w:r>
              <w:rPr>
                <w:webHidden/>
                <w:rStyle w:val="Style63"/>
                <w:vanish w:val="false"/>
              </w:rPr>
              <w:t>Раздел 9. Инвестиции в строительство, реконструкцию и техническое перевооружение</w:t>
              <w:tab/>
              <w:t>84</w:t>
            </w:r>
            <w:r>
              <w:rPr>
                <w:webHidden/>
              </w:rPr>
              <w:fldChar w:fldCharType="end"/>
            </w:r>
          </w:hyperlink>
        </w:p>
        <w:p>
          <w:pPr>
            <w:pStyle w:val="137"/>
            <w:jc w:val="left"/>
            <w:rPr/>
          </w:pPr>
          <w:hyperlink w:anchor="_Toc50093586">
            <w:r>
              <w:rPr>
                <w:webHidden/>
                <w:rStyle w:val="Style63"/>
                <w:vanish w:val="false"/>
              </w:rPr>
              <w:t>Раздел 10. Решение об определении единой теплоснабжающей организации (организаций)</w:t>
              <w:tab/>
              <w:t>9</w:t>
            </w:r>
          </w:hyperlink>
          <w:r>
            <w:rPr>
              <w:rFonts w:eastAsia="" w:cs="" w:cstheme="minorBidi" w:eastAsiaTheme="minorEastAsia"/>
              <w:b/>
              <w:bCs/>
              <w:caps w:val="false"/>
              <w:smallCaps w:val="false"/>
              <w:vanish w:val="false"/>
              <w:sz w:val="24"/>
              <w:szCs w:val="24"/>
              <w:lang w:eastAsia="ru-RU"/>
            </w:rPr>
            <w:t>3</w:t>
          </w:r>
        </w:p>
        <w:p>
          <w:pPr>
            <w:pStyle w:val="137"/>
            <w:jc w:val="left"/>
            <w:rPr/>
          </w:pPr>
          <w:hyperlink w:anchor="_Toc50093587">
            <w:r>
              <w:rPr>
                <w:webHidden/>
                <w:rStyle w:val="Style63"/>
                <w:vanish w:val="false"/>
              </w:rPr>
              <w:t>Раздел 11. Решения о распределении тепловой нагрузки между источниками тепловой энергии</w:t>
              <w:tab/>
              <w:t>9</w:t>
            </w:r>
          </w:hyperlink>
          <w:r>
            <w:rPr>
              <w:rFonts w:eastAsia="" w:cs="" w:cstheme="minorBidi" w:eastAsiaTheme="minorEastAsia"/>
              <w:b/>
              <w:bCs/>
              <w:caps w:val="false"/>
              <w:smallCaps w:val="false"/>
              <w:vanish w:val="false"/>
              <w:sz w:val="24"/>
              <w:szCs w:val="24"/>
              <w:lang w:eastAsia="ru-RU"/>
            </w:rPr>
            <w:t>5</w:t>
          </w:r>
        </w:p>
        <w:p>
          <w:pPr>
            <w:pStyle w:val="137"/>
            <w:rPr/>
          </w:pPr>
          <w:hyperlink w:anchor="_Toc50093588">
            <w:r>
              <w:rPr>
                <w:webHidden/>
                <w:rStyle w:val="Style63"/>
                <w:vanish w:val="false"/>
              </w:rPr>
              <w:t>Раздел 12. Решения по бесхозяйным тепловым сетям</w:t>
              <w:tab/>
              <w:t>9</w:t>
            </w:r>
          </w:hyperlink>
          <w:bookmarkStart w:id="1" w:name="_GoBack"/>
          <w:bookmarkEnd w:id="1"/>
          <w:r>
            <w:rPr>
              <w:rFonts w:eastAsia="" w:cs="" w:cstheme="minorBidi" w:eastAsiaTheme="minorEastAsia"/>
              <w:b/>
              <w:bCs/>
              <w:caps w:val="false"/>
              <w:smallCaps w:val="false"/>
              <w:sz w:val="24"/>
              <w:szCs w:val="24"/>
              <w:lang w:eastAsia="ru-RU"/>
            </w:rPr>
            <w:t>6</w:t>
          </w:r>
        </w:p>
        <w:p>
          <w:pPr>
            <w:pStyle w:val="137"/>
            <w:jc w:val="left"/>
            <w:rPr/>
          </w:pPr>
          <w:hyperlink w:anchor="_Toc50093589">
            <w:r>
              <w:rPr>
                <w:webHidden/>
                <w:rStyle w:val="Style63"/>
                <w:vanish w:val="false"/>
              </w:rPr>
              <w:t>Раздел 13. Синхронизация схемы теплоснабжения с нормативными документами муниципального уровня</w:t>
              <w:tab/>
              <w:t>9</w:t>
            </w:r>
          </w:hyperlink>
          <w:r>
            <w:rPr>
              <w:rFonts w:eastAsia="" w:cs="" w:cstheme="minorBidi" w:eastAsiaTheme="minorEastAsia"/>
              <w:b/>
              <w:bCs/>
              <w:caps w:val="false"/>
              <w:smallCaps w:val="false"/>
              <w:vanish w:val="false"/>
              <w:sz w:val="24"/>
              <w:szCs w:val="24"/>
              <w:lang w:eastAsia="ru-RU"/>
            </w:rPr>
            <w:t>7</w:t>
          </w:r>
        </w:p>
        <w:p>
          <w:pPr>
            <w:pStyle w:val="137"/>
            <w:rPr/>
          </w:pPr>
          <w:hyperlink w:anchor="_Toc50093590">
            <w:r>
              <w:rPr>
                <w:webHidden/>
                <w:rStyle w:val="Style63"/>
                <w:vanish w:val="false"/>
              </w:rPr>
              <w:t>Раздел 14. Индикаторы развития систем теплоснабжения</w:t>
              <w:tab/>
              <w:t>9</w:t>
            </w:r>
          </w:hyperlink>
          <w:r>
            <w:rPr>
              <w:rFonts w:eastAsia="" w:cs="" w:cstheme="minorBidi" w:eastAsiaTheme="minorEastAsia"/>
              <w:b/>
              <w:bCs/>
              <w:caps w:val="false"/>
              <w:smallCaps w:val="false"/>
              <w:vanish w:val="false"/>
              <w:sz w:val="24"/>
              <w:szCs w:val="24"/>
              <w:lang w:eastAsia="ru-RU"/>
            </w:rPr>
            <w:t>8</w:t>
          </w:r>
        </w:p>
        <w:p>
          <w:pPr>
            <w:pStyle w:val="137"/>
            <w:rPr/>
          </w:pPr>
          <w:hyperlink w:anchor="_Toc50093591">
            <w:r>
              <w:rPr>
                <w:webHidden/>
                <w:rStyle w:val="Style63"/>
                <w:vanish w:val="false"/>
              </w:rPr>
              <w:t>Раздел 15. Ценовые (тарифные) последствия</w:t>
              <w:tab/>
              <w:t>9</w:t>
            </w:r>
          </w:hyperlink>
          <w:r>
            <w:rPr>
              <w:rFonts w:eastAsia="" w:cs="" w:cstheme="minorBidi" w:eastAsiaTheme="minorEastAsia"/>
              <w:b/>
              <w:bCs/>
              <w:caps w:val="false"/>
              <w:smallCaps w:val="false"/>
              <w:vanish w:val="false"/>
              <w:sz w:val="24"/>
              <w:szCs w:val="24"/>
              <w:lang w:eastAsia="ru-RU"/>
            </w:rPr>
            <w:t>9</w:t>
          </w:r>
        </w:p>
        <w:p>
          <w:pPr>
            <w:pStyle w:val="137"/>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rPr/>
            <w:fldChar w:fldCharType="end"/>
          </w:r>
        </w:p>
        <w:p>
          <w:pPr>
            <w:sectPr>
              <w:type w:val="continuous"/>
              <w:pgSz w:w="11906" w:h="16838"/>
              <w:pgMar w:left="1134" w:right="567" w:header="1134" w:top="1693" w:footer="0" w:bottom="1134" w:gutter="0"/>
              <w:formProt w:val="false"/>
              <w:textDirection w:val="lrTb"/>
              <w:docGrid w:type="default" w:linePitch="360" w:charSpace="0"/>
            </w:sectPr>
          </w:pPr>
        </w:p>
      </w:sdtContent>
    </w:sdt>
    <w:p>
      <w:pPr>
        <w:pStyle w:val="148"/>
        <w:numPr>
          <w:ilvl w:val="0"/>
          <w:numId w:val="0"/>
        </w:numPr>
        <w:ind w:firstLine="567"/>
        <w:outlineLvl w:val="0"/>
        <w:rPr/>
      </w:pPr>
      <w:bookmarkStart w:id="2" w:name="_Toc50093548"/>
      <w:bookmarkStart w:id="3" w:name="_Toc437278314"/>
      <w:bookmarkStart w:id="4" w:name="_Toc431569606"/>
      <w:bookmarkStart w:id="5" w:name="_Toc430345835"/>
      <w:bookmarkStart w:id="6" w:name="_Toc424042083"/>
      <w:bookmarkStart w:id="7" w:name="_Toc423525697"/>
      <w:bookmarkStart w:id="8" w:name="_Toc422928592"/>
      <w:bookmarkStart w:id="9" w:name="_Toc416708234"/>
      <w:bookmarkStart w:id="10" w:name="_Toc414274864"/>
      <w:bookmarkStart w:id="11" w:name="_Toc407026362"/>
      <w:bookmarkStart w:id="12" w:name="_Toc407024169"/>
      <w:bookmarkStart w:id="13" w:name="_Toc406426040"/>
      <w:bookmarkStart w:id="14" w:name="_Toc405221430"/>
      <w:bookmarkStart w:id="15" w:name="_Toc402537430"/>
      <w:bookmarkStart w:id="16" w:name="_Toc402537157"/>
      <w:bookmarkStart w:id="17" w:name="_Toc400985053"/>
      <w:r>
        <w:rPr>
          <w:i w:val="false"/>
        </w:rPr>
        <w:t>Введение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A1"/>
        <w:rPr/>
      </w:pPr>
      <w:bookmarkStart w:id="18" w:name="bookmark3"/>
      <w:bookmarkEnd w:id="18"/>
      <w:r>
        <w:rPr/>
        <w:t>Базовым годом разработки схемы теплоснабжения Камышловского городского округа предлагается установить (i-2) = 2018 г. Год проведения актуализации схемы теплоснабжения – i = 2020 г. Год, на который производится актуализация схемы – 2021 г.</w:t>
      </w:r>
    </w:p>
    <w:p>
      <w:pPr>
        <w:pStyle w:val="A1"/>
        <w:rPr/>
      </w:pPr>
      <w:r>
        <w:rPr/>
        <w:t>Схема теплоснабжения Камышловского городского округа разработана в соответствии с требованиями законодательных документов:</w:t>
      </w:r>
    </w:p>
    <w:p>
      <w:pPr>
        <w:pStyle w:val="Style92"/>
        <w:numPr>
          <w:ilvl w:val="0"/>
          <w:numId w:val="4"/>
        </w:numPr>
        <w:spacing w:lineRule="auto" w:line="276"/>
        <w:ind w:left="0" w:firstLine="567"/>
        <w:rPr/>
      </w:pPr>
      <w:r>
        <w:rPr/>
        <w:t>Федерального закона от 27.07.2010 г. № 190-ФЗ «О теплоснабжении»;</w:t>
      </w:r>
    </w:p>
    <w:p>
      <w:pPr>
        <w:pStyle w:val="Style92"/>
        <w:numPr>
          <w:ilvl w:val="0"/>
          <w:numId w:val="4"/>
        </w:numPr>
        <w:spacing w:lineRule="auto" w:line="276"/>
        <w:ind w:left="0" w:firstLine="567"/>
        <w:rPr/>
      </w:pPr>
      <w:r>
        <w:rPr/>
        <w:t>постановления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w:t>
      </w:r>
    </w:p>
    <w:p>
      <w:pPr>
        <w:pStyle w:val="Style92"/>
        <w:numPr>
          <w:ilvl w:val="0"/>
          <w:numId w:val="4"/>
        </w:numPr>
        <w:spacing w:lineRule="auto" w:line="276"/>
        <w:ind w:left="0" w:firstLine="567"/>
        <w:rPr/>
      </w:pPr>
      <w:r>
        <w:rPr/>
        <w:t xml:space="preserve">утвержденными в соответствии с действующим законодательством документами территориального планирования поселения, программ развития сетей инженерно-технического обеспечения. </w:t>
      </w:r>
    </w:p>
    <w:p>
      <w:pPr>
        <w:pStyle w:val="A1"/>
        <w:rPr/>
      </w:pPr>
      <w:r>
        <w:rPr/>
        <w:t>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w:t>
      </w:r>
    </w:p>
    <w:p>
      <w:pPr>
        <w:pStyle w:val="A1"/>
        <w:rPr/>
      </w:pPr>
      <w:r>
        <w:rPr/>
        <w:t>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pPr>
        <w:pStyle w:val="A1"/>
        <w:rPr/>
      </w:pPr>
      <w:r>
        <w:rPr/>
        <w:t>Актуализация схемы теплоснабжения в целях:</w:t>
      </w:r>
    </w:p>
    <w:p>
      <w:pPr>
        <w:pStyle w:val="Style92"/>
        <w:numPr>
          <w:ilvl w:val="0"/>
          <w:numId w:val="4"/>
        </w:numPr>
        <w:spacing w:lineRule="auto" w:line="276"/>
        <w:ind w:left="0" w:firstLine="567"/>
        <w:rPr/>
      </w:pPr>
      <w:r>
        <w:rPr/>
        <w:t>Получения данных о существующем положении в сфере теплоснабжения Камышловского городского округа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 теплоснабжения и внедрения энергосберегающих технологий.</w:t>
      </w:r>
    </w:p>
    <w:p>
      <w:pPr>
        <w:pStyle w:val="Style92"/>
        <w:numPr>
          <w:ilvl w:val="0"/>
          <w:numId w:val="4"/>
        </w:numPr>
        <w:spacing w:lineRule="auto" w:line="276"/>
        <w:ind w:left="0" w:firstLine="567"/>
        <w:rPr/>
      </w:pPr>
      <w:r>
        <w:rPr/>
        <w:t>Охраны здоровья населения и улучшения качества жизни населения путём обеспечения бесперебойного и качественного теплоснабжения;</w:t>
      </w:r>
    </w:p>
    <w:p>
      <w:pPr>
        <w:pStyle w:val="Style92"/>
        <w:numPr>
          <w:ilvl w:val="0"/>
          <w:numId w:val="4"/>
        </w:numPr>
        <w:spacing w:lineRule="auto" w:line="276"/>
        <w:ind w:left="0" w:firstLine="567"/>
        <w:rPr/>
      </w:pPr>
      <w:r>
        <w:rPr/>
        <w:t>Повышения энергетической эффективности путём оптимизации процессов производства, транспорта и распределения;</w:t>
      </w:r>
    </w:p>
    <w:p>
      <w:pPr>
        <w:pStyle w:val="Style92"/>
        <w:numPr>
          <w:ilvl w:val="0"/>
          <w:numId w:val="4"/>
        </w:numPr>
        <w:spacing w:lineRule="auto" w:line="276"/>
        <w:ind w:left="0" w:firstLine="567"/>
        <w:rPr/>
      </w:pPr>
      <w:r>
        <w:rPr/>
        <w:t>Снижения негативного воздействия на окружающую среду;</w:t>
      </w:r>
    </w:p>
    <w:p>
      <w:pPr>
        <w:pStyle w:val="Style92"/>
        <w:numPr>
          <w:ilvl w:val="0"/>
          <w:numId w:val="4"/>
        </w:numPr>
        <w:spacing w:lineRule="auto" w:line="276"/>
        <w:ind w:left="0" w:firstLine="567"/>
        <w:rPr/>
      </w:pPr>
      <w:r>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pPr>
        <w:pStyle w:val="Style92"/>
        <w:numPr>
          <w:ilvl w:val="0"/>
          <w:numId w:val="4"/>
        </w:numPr>
        <w:spacing w:lineRule="auto" w:line="276"/>
        <w:ind w:left="0" w:firstLine="567"/>
        <w:rPr/>
      </w:pPr>
      <w:r>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pPr>
        <w:pStyle w:val="A1"/>
        <w:rPr/>
      </w:pPr>
      <w:r>
        <w:rPr/>
        <w:t>Принципы разработки схемы теплоснабжения:</w:t>
      </w:r>
    </w:p>
    <w:p>
      <w:pPr>
        <w:pStyle w:val="Style92"/>
        <w:numPr>
          <w:ilvl w:val="0"/>
          <w:numId w:val="4"/>
        </w:numPr>
        <w:spacing w:lineRule="auto" w:line="276"/>
        <w:ind w:left="0" w:firstLine="567"/>
        <w:rPr/>
      </w:pPr>
      <w:r>
        <w:rPr/>
        <w:t>обеспечение безопасности и надежности теплоснабжения потребителей в соответствии с требованиями технических регламентов;</w:t>
      </w:r>
    </w:p>
    <w:p>
      <w:pPr>
        <w:pStyle w:val="Style92"/>
        <w:numPr>
          <w:ilvl w:val="0"/>
          <w:numId w:val="4"/>
        </w:numPr>
        <w:spacing w:lineRule="auto" w:line="276"/>
        <w:ind w:left="0" w:firstLine="567"/>
        <w:rPr/>
      </w:pPr>
      <w:r>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pPr>
        <w:pStyle w:val="Style92"/>
        <w:numPr>
          <w:ilvl w:val="0"/>
          <w:numId w:val="4"/>
        </w:numPr>
        <w:spacing w:lineRule="auto" w:line="276"/>
        <w:ind w:left="0" w:firstLine="567"/>
        <w:rPr/>
      </w:pPr>
      <w:r>
        <w:rPr/>
        <w:t>соблюдение баланса экономических интересов теплоснабжающих организаций и потребителей;</w:t>
      </w:r>
    </w:p>
    <w:p>
      <w:pPr>
        <w:pStyle w:val="Style92"/>
        <w:numPr>
          <w:ilvl w:val="0"/>
          <w:numId w:val="4"/>
        </w:numPr>
        <w:spacing w:lineRule="auto" w:line="276"/>
        <w:ind w:left="0" w:firstLine="567"/>
        <w:rPr/>
      </w:pPr>
      <w:r>
        <w:rPr/>
        <w:t>минимизация затрат на теплоснабжение в расчете на каждого потребителя в долгосрочной перспективе;</w:t>
      </w:r>
    </w:p>
    <w:p>
      <w:pPr>
        <w:pStyle w:val="Style92"/>
        <w:numPr>
          <w:ilvl w:val="0"/>
          <w:numId w:val="4"/>
        </w:numPr>
        <w:spacing w:lineRule="auto" w:line="276"/>
        <w:ind w:left="0" w:firstLine="567"/>
        <w:rPr/>
      </w:pPr>
      <w:r>
        <w:rPr/>
        <w:t>обеспечение не дискриминационных и стабильных условий осуществления предпринимательской деятельности в сфере теплоснабжения;</w:t>
      </w:r>
    </w:p>
    <w:p>
      <w:pPr>
        <w:pStyle w:val="Style92"/>
        <w:numPr>
          <w:ilvl w:val="0"/>
          <w:numId w:val="4"/>
        </w:numPr>
        <w:spacing w:lineRule="auto" w:line="276"/>
        <w:ind w:left="0" w:firstLine="567"/>
        <w:rPr/>
      </w:pPr>
      <w:r>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pPr>
        <w:pStyle w:val="Style92"/>
        <w:numPr>
          <w:ilvl w:val="0"/>
          <w:numId w:val="4"/>
        </w:numPr>
        <w:spacing w:lineRule="auto" w:line="276"/>
        <w:ind w:left="0" w:firstLine="567"/>
        <w:rPr/>
      </w:pPr>
      <w:r>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pPr>
        <w:pStyle w:val="A1"/>
        <w:rPr/>
      </w:pPr>
      <w:r>
        <w:rPr/>
        <w:t>Используемые понятия и определения:</w:t>
      </w:r>
    </w:p>
    <w:p>
      <w:pPr>
        <w:pStyle w:val="Style92"/>
        <w:numPr>
          <w:ilvl w:val="0"/>
          <w:numId w:val="4"/>
        </w:numPr>
        <w:spacing w:lineRule="auto" w:line="276"/>
        <w:ind w:left="0" w:firstLine="567"/>
        <w:rPr/>
      </w:pPr>
      <w:r>
        <w:rPr/>
        <w:t>«зона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pPr>
        <w:pStyle w:val="Style92"/>
        <w:numPr>
          <w:ilvl w:val="0"/>
          <w:numId w:val="4"/>
        </w:numPr>
        <w:spacing w:lineRule="auto" w:line="276"/>
        <w:ind w:left="0" w:firstLine="567"/>
        <w:rPr/>
      </w:pPr>
      <w:r>
        <w:rPr/>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w:t>
      </w:r>
    </w:p>
    <w:p>
      <w:pPr>
        <w:pStyle w:val="Style92"/>
        <w:numPr>
          <w:ilvl w:val="0"/>
          <w:numId w:val="4"/>
        </w:numPr>
        <w:spacing w:lineRule="auto" w:line="276"/>
        <w:ind w:left="0" w:firstLine="567"/>
        <w:rPr/>
      </w:pPr>
      <w:r>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pPr>
        <w:pStyle w:val="Style92"/>
        <w:numPr>
          <w:ilvl w:val="0"/>
          <w:numId w:val="4"/>
        </w:numPr>
        <w:spacing w:lineRule="auto" w:line="276"/>
        <w:ind w:left="0" w:firstLine="567"/>
        <w:rPr/>
      </w:pPr>
      <w:r>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pPr>
        <w:pStyle w:val="Style92"/>
        <w:numPr>
          <w:ilvl w:val="0"/>
          <w:numId w:val="4"/>
        </w:numPr>
        <w:spacing w:lineRule="auto" w:line="276"/>
        <w:ind w:left="0" w:firstLine="567"/>
        <w:rPr/>
      </w:pPr>
      <w:r>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pPr>
        <w:pStyle w:val="Style92"/>
        <w:numPr>
          <w:ilvl w:val="0"/>
          <w:numId w:val="4"/>
        </w:numPr>
        <w:spacing w:lineRule="auto" w:line="276"/>
        <w:ind w:left="0" w:firstLine="567"/>
        <w:rPr/>
      </w:pPr>
      <w:r>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pPr>
        <w:pStyle w:val="Normal"/>
        <w:spacing w:lineRule="auto" w:line="276" w:before="0" w:after="200"/>
        <w:rPr>
          <w:b/>
          <w:b/>
          <w:bCs/>
          <w:spacing w:val="-1"/>
          <w:kern w:val="2"/>
          <w:lang w:eastAsia="en-US"/>
        </w:rPr>
      </w:pPr>
      <w:r>
        <w:rPr>
          <w:b/>
          <w:bCs/>
          <w:spacing w:val="-1"/>
          <w:kern w:val="2"/>
          <w:lang w:eastAsia="en-US"/>
        </w:rPr>
      </w:r>
      <w:r>
        <w:br w:type="page"/>
      </w:r>
    </w:p>
    <w:p>
      <w:pPr>
        <w:pStyle w:val="162"/>
        <w:spacing w:lineRule="auto" w:line="300"/>
        <w:rPr>
          <w:sz w:val="24"/>
          <w:szCs w:val="24"/>
        </w:rPr>
      </w:pPr>
      <w:bookmarkStart w:id="19" w:name="_Toc7180993"/>
      <w:bookmarkStart w:id="20" w:name="_Toc533078030"/>
      <w:bookmarkStart w:id="21" w:name="_Toc50093549"/>
      <w:r>
        <w:rPr>
          <w:sz w:val="24"/>
          <w:szCs w:val="24"/>
        </w:rPr>
        <w:t>Общие сведения</w:t>
      </w:r>
      <w:bookmarkEnd w:id="19"/>
      <w:bookmarkEnd w:id="20"/>
      <w:bookmarkEnd w:id="21"/>
    </w:p>
    <w:p>
      <w:pPr>
        <w:pStyle w:val="Style139"/>
        <w:rPr>
          <w:lang w:eastAsia="en-US"/>
        </w:rPr>
      </w:pPr>
      <w:r>
        <w:rPr>
          <w:lang w:eastAsia="en-US"/>
        </w:rPr>
        <w:t xml:space="preserve">Город Камышлов с населением 25843 человек, является административным центром Камышловского городского округа и расположен в Западной Сибири, на левом берегу р. Пышма (бассейн Оби), при впадении в неё р. Камышловка, в 136 км к востоку от Екатеринбурга. Общая площадь составляет 52 </w:t>
      </w:r>
      <w:r>
        <w:rPr/>
      </w:r>
      <m:oMath xmlns:m="http://schemas.openxmlformats.org/officeDocument/2006/math">
        <m:sSup>
          <m:e>
            <m:r>
              <w:rPr>
                <w:rFonts w:ascii="Cambria Math" w:hAnsi="Cambria Math"/>
              </w:rPr>
              <m:t xml:space="preserve">км</m:t>
            </m:r>
          </m:e>
          <m:sup>
            <m:r>
              <w:rPr>
                <w:rFonts w:ascii="Cambria Math" w:hAnsi="Cambria Math"/>
              </w:rPr>
              <m:t xml:space="preserve">2</m:t>
            </m:r>
          </m:sup>
        </m:sSup>
      </m:oMath>
      <w:r>
        <w:rPr>
          <w:lang w:eastAsia="en-US"/>
        </w:rPr>
        <w:t xml:space="preserve">. Расположение городского округа показано на рисунке </w:t>
      </w:r>
      <w:r>
        <w:rPr/>
        <w:fldChar w:fldCharType="begin"/>
      </w:r>
      <w:r>
        <w:rPr/>
        <w:instrText> REF _Ref536549482 \h </w:instrText>
      </w:r>
      <w:r>
        <w:rPr/>
        <w:fldChar w:fldCharType="separate"/>
      </w:r>
      <w:r>
        <w:rPr/>
        <w:t>Рисунок 1</w:t>
      </w:r>
      <w:r>
        <w:rPr/>
        <w:fldChar w:fldCharType="end"/>
      </w:r>
      <w:r>
        <w:rPr>
          <w:lang w:eastAsia="en-US"/>
        </w:rPr>
        <w:t>.</w:t>
      </w:r>
    </w:p>
    <w:p>
      <w:pPr>
        <w:pStyle w:val="Style139"/>
        <w:rPr>
          <w:lang w:eastAsia="en-US"/>
        </w:rPr>
      </w:pPr>
      <w:r>
        <w:rPr>
          <w:lang w:eastAsia="en-US"/>
        </w:rPr>
        <w:t>Камышловский городской округ входит в состав Восточного управленческого округа Свердловской</w:t>
      </w:r>
      <w:r>
        <w:rPr/>
        <w:t xml:space="preserve"> области. На севере округ граничит с Галкинским сельским поселением, на</w:t>
      </w:r>
      <w:r>
        <w:rPr>
          <w:lang w:eastAsia="en-US"/>
        </w:rPr>
        <w:t xml:space="preserve"> </w:t>
      </w:r>
      <w:r>
        <w:rPr/>
        <w:t>западе с Обуховским сельским поселением, на северо-востоке с Восточным сельским</w:t>
      </w:r>
      <w:r>
        <w:rPr>
          <w:lang w:eastAsia="en-US"/>
        </w:rPr>
        <w:t xml:space="preserve"> </w:t>
      </w:r>
      <w:r>
        <w:rPr/>
        <w:t>поселением и с Зареченским сельским поселением на юго-востоке.</w:t>
      </w:r>
      <w:r>
        <w:rPr>
          <w:lang w:eastAsia="en-US"/>
        </w:rPr>
        <w:t xml:space="preserve"> </w:t>
      </w:r>
      <w:r>
        <w:rPr/>
        <w:t>В границах Камышловского городского округа находится населенный пункт г.</w:t>
      </w:r>
      <w:r>
        <w:rPr>
          <w:lang w:eastAsia="en-US"/>
        </w:rPr>
        <w:t> </w:t>
      </w:r>
      <w:r>
        <w:rPr/>
        <w:t>Камышлов.</w:t>
      </w:r>
      <w:r>
        <w:rPr>
          <w:lang w:eastAsia="en-US"/>
        </w:rPr>
        <w:t> </w:t>
      </w:r>
      <w:r>
        <w:rPr/>
        <w:t>Связь с г. Екатеринбург осуществляется по дороге сообщением</w:t>
      </w:r>
      <w:r>
        <w:rPr>
          <w:lang w:eastAsia="en-US"/>
        </w:rPr>
        <w:t xml:space="preserve"> </w:t>
      </w:r>
      <w:r>
        <w:rPr/>
        <w:t>Екатеринбург-Тюмень, которая проходит севернее города и посредством железной дороги</w:t>
      </w:r>
      <w:r>
        <w:rPr>
          <w:lang w:eastAsia="en-US"/>
        </w:rPr>
        <w:t xml:space="preserve"> </w:t>
      </w:r>
      <w:r>
        <w:rPr/>
        <w:t>Камышлов-Екатеринбург и станции Камышлов.</w:t>
      </w:r>
      <w:r>
        <w:rPr>
          <w:lang w:eastAsia="en-US"/>
        </w:rPr>
        <w:t xml:space="preserve"> </w:t>
      </w:r>
      <w:r>
        <w:rPr/>
        <w:t xml:space="preserve">Климатические условия города Камышлова характерны для условий Среднего Урала. Продолжительность зимнего периода около 5 месяцев, устойчивый снежный покров образуется в среднем 11 ноября. Средние месячные температуры изменяются от плюс 18,1 °С в июле до минус 16,8 °С в январе. Среднегодовая температура воздуха равна плюс 1,4 °С. Абсолютный максимум температуры отмечен в июле и достигает плюс 40 °С, абсолютный минимум наблюдается в январе минус 46 °С. </w:t>
      </w:r>
    </w:p>
    <w:p>
      <w:pPr>
        <w:pStyle w:val="Style139"/>
        <w:rPr/>
      </w:pPr>
      <w:r>
        <w:rPr/>
        <w:t>Условно в городском округе можно выделить 2 промышленные зоны: Северный и Южный районы.</w:t>
      </w:r>
    </w:p>
    <w:p>
      <w:pPr>
        <w:pStyle w:val="Style139"/>
        <w:rPr/>
      </w:pPr>
      <w:r>
        <w:rPr/>
        <w:t xml:space="preserve">Северный промышленный район объединяет площадки завода ООО «Камышловский завод «Урализолятор», ООО «НЕО Консалтинг групп – проект», площадка ООО «Уральская диатомитовая компания», железнодорожное хозяйство АО «РЖД». </w:t>
      </w:r>
    </w:p>
    <w:p>
      <w:pPr>
        <w:pStyle w:val="Style139"/>
        <w:rPr/>
      </w:pPr>
      <w:r>
        <w:rPr/>
        <w:t>Южный промышленный район включает в себя ООО «Камышловский кожевенный завод», площадка ООО «К-777», деревообрабатывающие предприятия, мастерские, склады стройматериалов, продуктовые склады и предприятия по обслуживанию автомобильного транспорта.</w:t>
      </w:r>
    </w:p>
    <w:p>
      <w:pPr>
        <w:pStyle w:val="Style139"/>
        <w:rPr/>
      </w:pPr>
      <w:r>
        <w:rPr/>
        <w:t>В центральной части города располагаются ООО «Камышловский хлеб», ОАО «Полевской молочный комбинат», ГУП СО «Каменск-Уральская типография». Производственные объекты, расположенные в центральной части, имеют ограничения в развитии.</w:t>
      </w:r>
    </w:p>
    <w:p>
      <w:pPr>
        <w:pStyle w:val="Style139"/>
        <w:rPr/>
      </w:pPr>
      <w:r>
        <w:rPr/>
        <w:t xml:space="preserve">В восточной части города располагается площадка ООО «Камышловский клеевой завод» и склад стройматериалов. Северо-восточнее ООО «Камышловский клеевой завод» находится территория завода ООО «Реммаш», пилорама, склад пиломатериалов и мебельный цех. </w:t>
      </w:r>
    </w:p>
    <w:p>
      <w:pPr>
        <w:pStyle w:val="Style116"/>
        <w:rPr>
          <w:lang w:val="ru-RU"/>
        </w:rPr>
      </w:pPr>
      <w:r>
        <w:rPr>
          <w:lang w:val="ru-RU"/>
        </w:rPr>
      </w:r>
    </w:p>
    <w:p>
      <w:pPr>
        <w:pStyle w:val="Normal"/>
        <w:keepNext w:val="true"/>
        <w:rPr/>
      </w:pPr>
      <w:r>
        <w:rPr/>
        <w:drawing>
          <wp:inline distT="0" distB="0" distL="0" distR="0">
            <wp:extent cx="6303010" cy="6906895"/>
            <wp:effectExtent l="0" t="0" r="0" b="0"/>
            <wp:docPr id="4" name="Рисунок 1" descr="Муниципальное_деление_Свердловской_области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Муниципальное_деление_Свердловской_области_(2006)"/>
                    <pic:cNvPicPr>
                      <a:picLocks noChangeAspect="1" noChangeArrowheads="1"/>
                    </pic:cNvPicPr>
                  </pic:nvPicPr>
                  <pic:blipFill>
                    <a:blip r:embed="rId6"/>
                    <a:stretch>
                      <a:fillRect/>
                    </a:stretch>
                  </pic:blipFill>
                  <pic:spPr bwMode="auto">
                    <a:xfrm>
                      <a:off x="0" y="0"/>
                      <a:ext cx="6303010" cy="6906895"/>
                    </a:xfrm>
                    <a:prstGeom prst="rect">
                      <a:avLst/>
                    </a:prstGeom>
                  </pic:spPr>
                </pic:pic>
              </a:graphicData>
            </a:graphic>
          </wp:inline>
        </w:drawing>
      </w:r>
    </w:p>
    <w:p>
      <w:pPr>
        <w:pStyle w:val="Normal"/>
        <w:keepNext w:val="true"/>
        <w:rPr/>
      </w:pPr>
      <w:r>
        <w:rPr/>
      </w:r>
    </w:p>
    <w:p>
      <w:pPr>
        <w:pStyle w:val="Style84"/>
        <w:rPr/>
      </w:pPr>
      <w:bookmarkStart w:id="22" w:name="_Ref536549482"/>
      <w:r>
        <w:rPr/>
        <w:t xml:space="preserve">Рисунок </w:t>
      </w:r>
      <w:r>
        <w:rPr/>
        <w:fldChar w:fldCharType="begin"/>
      </w:r>
      <w:r>
        <w:rPr/>
        <w:instrText> SEQ Рисунок \* ARABIC </w:instrText>
      </w:r>
      <w:r>
        <w:rPr/>
        <w:fldChar w:fldCharType="separate"/>
      </w:r>
      <w:r>
        <w:rPr/>
        <w:t>1</w:t>
      </w:r>
      <w:r>
        <w:rPr/>
        <w:fldChar w:fldCharType="end"/>
      </w:r>
      <w:bookmarkEnd w:id="22"/>
      <w:r>
        <w:rPr/>
        <w:t>. Положение Камышловского городского округа</w:t>
      </w:r>
      <w:bookmarkStart w:id="23" w:name="_Toc343775883"/>
      <w:bookmarkEnd w:id="23"/>
    </w:p>
    <w:p>
      <w:pPr>
        <w:pStyle w:val="Caption"/>
        <w:jc w:val="left"/>
        <w:rPr>
          <w:szCs w:val="24"/>
        </w:rPr>
      </w:pPr>
      <w:r>
        <w:rPr>
          <w:szCs w:val="24"/>
        </w:rPr>
      </w:r>
    </w:p>
    <w:p>
      <w:pPr>
        <w:pStyle w:val="Normal"/>
        <w:spacing w:lineRule="auto" w:line="276" w:before="0" w:after="200"/>
        <w:rPr/>
      </w:pPr>
      <w:r>
        <w:rPr/>
      </w:r>
      <w:bookmarkStart w:id="24" w:name="_Toc437278315"/>
      <w:bookmarkStart w:id="25" w:name="_Toc431569607"/>
      <w:bookmarkStart w:id="26" w:name="_Toc430345836"/>
      <w:bookmarkStart w:id="27" w:name="_Toc424042084"/>
      <w:bookmarkStart w:id="28" w:name="_Toc423525698"/>
      <w:bookmarkStart w:id="29" w:name="_Toc422928593"/>
      <w:bookmarkStart w:id="30" w:name="_Toc416708235"/>
      <w:bookmarkStart w:id="31" w:name="_Toc414274865"/>
      <w:bookmarkStart w:id="32" w:name="_Toc407703953"/>
      <w:bookmarkStart w:id="33" w:name="_Toc407703133"/>
      <w:bookmarkStart w:id="34" w:name="_Toc407638489"/>
      <w:bookmarkStart w:id="35" w:name="_Toc533170550"/>
      <w:bookmarkStart w:id="36" w:name="bookmark31"/>
      <w:bookmarkStart w:id="37" w:name="_Toc437278315"/>
      <w:bookmarkStart w:id="38" w:name="_Toc431569607"/>
      <w:bookmarkStart w:id="39" w:name="_Toc430345836"/>
      <w:bookmarkStart w:id="40" w:name="_Toc424042084"/>
      <w:bookmarkStart w:id="41" w:name="_Toc423525698"/>
      <w:bookmarkStart w:id="42" w:name="_Toc422928593"/>
      <w:bookmarkStart w:id="43" w:name="_Toc416708235"/>
      <w:bookmarkStart w:id="44" w:name="_Toc414274865"/>
      <w:bookmarkStart w:id="45" w:name="_Toc407703953"/>
      <w:bookmarkStart w:id="46" w:name="_Toc407703133"/>
      <w:bookmarkStart w:id="47" w:name="_Toc407638489"/>
      <w:bookmarkStart w:id="48" w:name="_Toc533170550"/>
      <w:bookmarkStart w:id="49" w:name="bookmark31"/>
      <w:bookmarkEnd w:id="49"/>
      <w:r>
        <w:br w:type="page"/>
      </w:r>
    </w:p>
    <w:p>
      <w:pPr>
        <w:pStyle w:val="148"/>
        <w:rPr/>
      </w:pPr>
      <w:bookmarkStart w:id="50" w:name="_Toc50093550"/>
      <w:bookmarkStart w:id="51" w:name="_Toc452545864"/>
      <w:bookmarkStart w:id="52" w:name="_Toc450745401"/>
      <w:r>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51"/>
      <w:bookmarkEnd w:id="52"/>
      <w:r>
        <w:rPr/>
        <w:t>городского округа</w:t>
      </w:r>
      <w:bookmarkEnd w:id="48"/>
      <w:bookmarkEnd w:id="50"/>
      <w:r>
        <w:rPr/>
        <w:t xml:space="preserve"> </w:t>
      </w:r>
      <w:bookmarkEnd w:id="37"/>
      <w:bookmarkEnd w:id="38"/>
      <w:bookmarkEnd w:id="39"/>
      <w:bookmarkEnd w:id="40"/>
      <w:bookmarkEnd w:id="41"/>
      <w:bookmarkEnd w:id="42"/>
      <w:bookmarkEnd w:id="43"/>
      <w:bookmarkEnd w:id="44"/>
      <w:bookmarkEnd w:id="45"/>
      <w:bookmarkEnd w:id="46"/>
      <w:bookmarkEnd w:id="47"/>
    </w:p>
    <w:p>
      <w:pPr>
        <w:pStyle w:val="ListParagraph"/>
        <w:keepNext w:val="true"/>
        <w:keepLines/>
        <w:numPr>
          <w:ilvl w:val="1"/>
          <w:numId w:val="2"/>
        </w:numPr>
        <w:tabs>
          <w:tab w:val="clear" w:pos="709"/>
          <w:tab w:val="left" w:pos="1276" w:leader="none"/>
        </w:tabs>
        <w:spacing w:before="120" w:after="240"/>
        <w:contextualSpacing/>
        <w:jc w:val="both"/>
        <w:outlineLvl w:val="2"/>
        <w:rPr>
          <w:rFonts w:eastAsia="Times New Roman"/>
          <w:b/>
          <w:b/>
          <w:bCs/>
          <w:i/>
          <w:i/>
          <w:vanish/>
          <w:sz w:val="28"/>
          <w:szCs w:val="28"/>
          <w:lang w:eastAsia="ru-RU"/>
        </w:rPr>
      </w:pPr>
      <w:r>
        <w:rPr>
          <w:rFonts w:eastAsia="Times New Roman"/>
          <w:b/>
          <w:bCs/>
          <w:i/>
          <w:vanish/>
          <w:sz w:val="28"/>
          <w:szCs w:val="28"/>
          <w:lang w:eastAsia="ru-RU"/>
        </w:rPr>
      </w:r>
      <w:bookmarkStart w:id="53" w:name="_Toc437274999"/>
      <w:bookmarkStart w:id="54" w:name="_Toc437274999"/>
      <w:bookmarkEnd w:id="54"/>
    </w:p>
    <w:p>
      <w:pPr>
        <w:pStyle w:val="ListParagraph"/>
        <w:keepNext w:val="true"/>
        <w:keepLines/>
        <w:numPr>
          <w:ilvl w:val="1"/>
          <w:numId w:val="2"/>
        </w:numPr>
        <w:tabs>
          <w:tab w:val="clear" w:pos="709"/>
          <w:tab w:val="left" w:pos="1276" w:leader="none"/>
        </w:tabs>
        <w:spacing w:before="120" w:after="240"/>
        <w:contextualSpacing/>
        <w:jc w:val="both"/>
        <w:outlineLvl w:val="2"/>
        <w:rPr>
          <w:rFonts w:eastAsia="Times New Roman"/>
          <w:b/>
          <w:b/>
          <w:bCs/>
          <w:i/>
          <w:i/>
          <w:vanish/>
          <w:sz w:val="28"/>
          <w:szCs w:val="28"/>
          <w:lang w:eastAsia="ru-RU"/>
        </w:rPr>
      </w:pPr>
      <w:r>
        <w:rPr>
          <w:rFonts w:eastAsia="Times New Roman"/>
          <w:b/>
          <w:bCs/>
          <w:i/>
          <w:vanish/>
          <w:sz w:val="28"/>
          <w:szCs w:val="28"/>
          <w:lang w:eastAsia="ru-RU"/>
        </w:rPr>
      </w:r>
      <w:bookmarkStart w:id="55" w:name="_Toc437275000"/>
      <w:bookmarkStart w:id="56" w:name="_Toc437275000"/>
      <w:bookmarkEnd w:id="56"/>
    </w:p>
    <w:p>
      <w:pPr>
        <w:pStyle w:val="A1"/>
        <w:rPr/>
      </w:pPr>
      <w:bookmarkStart w:id="57" w:name="_Toc437278321"/>
      <w:bookmarkStart w:id="58" w:name="_Toc431569637"/>
      <w:bookmarkStart w:id="59" w:name="_Toc430345866"/>
      <w:bookmarkStart w:id="60" w:name="_Toc424042104"/>
      <w:bookmarkStart w:id="61" w:name="_Toc423525718"/>
      <w:bookmarkStart w:id="62" w:name="_Toc422928599"/>
      <w:bookmarkStart w:id="63" w:name="_Toc416708241"/>
      <w:bookmarkStart w:id="64" w:name="_Toc414274871"/>
      <w:bookmarkStart w:id="65" w:name="_Toc407703959"/>
      <w:bookmarkStart w:id="66" w:name="_Toc407703139"/>
      <w:bookmarkStart w:id="67" w:name="_Toc407638495"/>
      <w:bookmarkEnd w:id="57"/>
      <w:bookmarkEnd w:id="58"/>
      <w:bookmarkEnd w:id="59"/>
      <w:bookmarkEnd w:id="60"/>
      <w:bookmarkEnd w:id="61"/>
      <w:bookmarkEnd w:id="62"/>
      <w:bookmarkEnd w:id="63"/>
      <w:bookmarkEnd w:id="64"/>
      <w:bookmarkEnd w:id="65"/>
      <w:bookmarkEnd w:id="66"/>
      <w:bookmarkEnd w:id="67"/>
      <w:r>
        <w:rPr/>
        <w:t xml:space="preserve">Значения потребления тепловой энергии в расчетных элементах территориального деления при расчетных температурах наружного воздуха Камышловского городского округа на 2020 год приведены в таблице </w:t>
      </w:r>
      <w:r>
        <w:rPr/>
        <w:fldChar w:fldCharType="begin"/>
      </w:r>
      <w:r>
        <w:rPr/>
        <w:instrText> REF _Ref532224815 \h </w:instrText>
      </w:r>
      <w:r>
        <w:rPr/>
        <w:fldChar w:fldCharType="separate"/>
      </w:r>
      <w:r>
        <w:rPr/>
        <w:t>Таблица 1</w:t>
      </w:r>
      <w:r>
        <w:rPr/>
        <w:fldChar w:fldCharType="end"/>
      </w:r>
      <w:r>
        <w:rPr/>
        <w:t xml:space="preserve"> и Приложении 5. </w:t>
      </w:r>
    </w:p>
    <w:p>
      <w:pPr>
        <w:pStyle w:val="A1"/>
        <w:rPr/>
      </w:pPr>
      <w:r>
        <w:rPr/>
        <w:t xml:space="preserve">Значения величин потребления тепловой энергии приведены в таблице </w:t>
      </w:r>
      <w:r>
        <w:rPr/>
        <w:fldChar w:fldCharType="begin"/>
      </w:r>
      <w:r>
        <w:rPr/>
        <w:instrText> REF _Ref532224815 \h </w:instrText>
      </w:r>
      <w:r>
        <w:rPr/>
        <w:fldChar w:fldCharType="separate"/>
      </w:r>
      <w:r>
        <w:rPr/>
        <w:t>Таблица 1</w:t>
      </w:r>
      <w:r>
        <w:rPr/>
        <w:fldChar w:fldCharType="end"/>
      </w:r>
      <w:r>
        <w:rPr/>
        <w:t xml:space="preserve"> для единственного элемента расчетно-территориального деления г. Камышлов.</w:t>
      </w:r>
    </w:p>
    <w:p>
      <w:pPr>
        <w:pStyle w:val="Style85"/>
        <w:rPr/>
      </w:pPr>
      <w:bookmarkStart w:id="68" w:name="_Ref532224815"/>
      <w:r>
        <w:rPr/>
        <w:t xml:space="preserve">Таблица </w:t>
      </w:r>
      <w:r>
        <w:rPr/>
        <w:fldChar w:fldCharType="begin"/>
      </w:r>
      <w:r>
        <w:rPr/>
        <w:instrText> SEQ Таблица \* ARABIC </w:instrText>
      </w:r>
      <w:r>
        <w:rPr/>
        <w:fldChar w:fldCharType="separate"/>
      </w:r>
      <w:r>
        <w:rPr/>
        <w:t>1</w:t>
      </w:r>
      <w:r>
        <w:rPr/>
        <w:fldChar w:fldCharType="end"/>
      </w:r>
      <w:bookmarkEnd w:id="68"/>
      <w:r>
        <w:rPr/>
        <w:t>. Потребление тепловой энергии в расчетных элементах территориального деления</w:t>
      </w:r>
    </w:p>
    <w:tbl>
      <w:tblPr>
        <w:tblW w:w="10201" w:type="dxa"/>
        <w:jc w:val="left"/>
        <w:tblInd w:w="-5" w:type="dxa"/>
        <w:tblCellMar>
          <w:top w:w="0" w:type="dxa"/>
          <w:left w:w="108" w:type="dxa"/>
          <w:bottom w:w="0" w:type="dxa"/>
          <w:right w:w="108" w:type="dxa"/>
        </w:tblCellMar>
        <w:tblLook w:firstRow="1" w:noVBand="1" w:lastRow="0" w:firstColumn="1" w:lastColumn="0" w:noHBand="0" w:val="04a0"/>
      </w:tblPr>
      <w:tblGrid>
        <w:gridCol w:w="1920"/>
        <w:gridCol w:w="1307"/>
        <w:gridCol w:w="1294"/>
        <w:gridCol w:w="955"/>
        <w:gridCol w:w="2"/>
        <w:gridCol w:w="1329"/>
        <w:gridCol w:w="955"/>
        <w:gridCol w:w="6"/>
        <w:gridCol w:w="1459"/>
        <w:gridCol w:w="972"/>
      </w:tblGrid>
      <w:tr>
        <w:trPr>
          <w:trHeight w:val="19" w:hRule="atLeast"/>
        </w:trPr>
        <w:tc>
          <w:tcPr>
            <w:tcW w:w="19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sz w:val="20"/>
                <w:szCs w:val="20"/>
              </w:rPr>
              <w:t>Единица административно-территориального деления</w:t>
            </w:r>
          </w:p>
        </w:tc>
        <w:tc>
          <w:tcPr>
            <w:tcW w:w="8279" w:type="dxa"/>
            <w:gridSpan w:val="9"/>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Присоединенная договорная нагрузка потребителей в сетевой воде, Гкал/ч</w:t>
            </w:r>
          </w:p>
        </w:tc>
      </w:tr>
      <w:tr>
        <w:trPr>
          <w:trHeight w:val="19" w:hRule="atLeast"/>
        </w:trPr>
        <w:tc>
          <w:tcPr>
            <w:tcW w:w="19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sz w:val="20"/>
                <w:szCs w:val="20"/>
              </w:rPr>
            </w:r>
          </w:p>
        </w:tc>
        <w:tc>
          <w:tcPr>
            <w:tcW w:w="130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Всего:</w:t>
            </w:r>
          </w:p>
        </w:tc>
        <w:tc>
          <w:tcPr>
            <w:tcW w:w="2249"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Жилой фонд</w:t>
            </w:r>
          </w:p>
        </w:tc>
        <w:tc>
          <w:tcPr>
            <w:tcW w:w="2286" w:type="dxa"/>
            <w:gridSpan w:val="3"/>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СКБ</w:t>
            </w:r>
          </w:p>
        </w:tc>
        <w:tc>
          <w:tcPr>
            <w:tcW w:w="2437" w:type="dxa"/>
            <w:gridSpan w:val="3"/>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Прочие (Юр. лица)</w:t>
            </w:r>
          </w:p>
        </w:tc>
      </w:tr>
      <w:tr>
        <w:trPr>
          <w:trHeight w:val="19" w:hRule="atLeast"/>
        </w:trPr>
        <w:tc>
          <w:tcPr>
            <w:tcW w:w="19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sz w:val="20"/>
                <w:szCs w:val="20"/>
              </w:rPr>
            </w:r>
          </w:p>
        </w:tc>
        <w:tc>
          <w:tcPr>
            <w:tcW w:w="130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sz w:val="20"/>
                <w:szCs w:val="20"/>
              </w:rPr>
            </w:r>
          </w:p>
        </w:tc>
        <w:tc>
          <w:tcPr>
            <w:tcW w:w="12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Отопление вентиляция</w:t>
            </w:r>
          </w:p>
        </w:tc>
        <w:tc>
          <w:tcPr>
            <w:tcW w:w="957"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ГВС</w:t>
            </w:r>
          </w:p>
        </w:tc>
        <w:tc>
          <w:tcPr>
            <w:tcW w:w="13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Отопление вентиляция</w:t>
            </w:r>
          </w:p>
        </w:tc>
        <w:tc>
          <w:tcPr>
            <w:tcW w:w="961"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ГВС</w:t>
            </w:r>
          </w:p>
        </w:tc>
        <w:tc>
          <w:tcPr>
            <w:tcW w:w="14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Отопление вентиляция</w:t>
            </w:r>
          </w:p>
        </w:tc>
        <w:tc>
          <w:tcPr>
            <w:tcW w:w="97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Style123"/>
              <w:spacing w:lineRule="auto" w:line="276"/>
              <w:rPr>
                <w:sz w:val="20"/>
                <w:szCs w:val="20"/>
              </w:rPr>
            </w:pPr>
            <w:r>
              <w:rPr>
                <w:sz w:val="20"/>
                <w:szCs w:val="20"/>
              </w:rPr>
              <w:t>ГВС</w:t>
            </w:r>
          </w:p>
        </w:tc>
      </w:tr>
      <w:tr>
        <w:trPr>
          <w:trHeight w:val="19" w:hRule="atLeast"/>
        </w:trPr>
        <w:tc>
          <w:tcPr>
            <w:tcW w:w="192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г. Камышлов</w:t>
            </w:r>
          </w:p>
        </w:tc>
        <w:tc>
          <w:tcPr>
            <w:tcW w:w="130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51,10</w:t>
            </w:r>
          </w:p>
        </w:tc>
        <w:tc>
          <w:tcPr>
            <w:tcW w:w="129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36,42</w:t>
            </w:r>
          </w:p>
        </w:tc>
        <w:tc>
          <w:tcPr>
            <w:tcW w:w="95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0,00</w:t>
            </w:r>
          </w:p>
        </w:tc>
        <w:tc>
          <w:tcPr>
            <w:tcW w:w="13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10,04</w:t>
            </w:r>
          </w:p>
        </w:tc>
        <w:tc>
          <w:tcPr>
            <w:tcW w:w="9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0,00</w:t>
            </w:r>
          </w:p>
        </w:tc>
        <w:tc>
          <w:tcPr>
            <w:tcW w:w="14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4,63</w:t>
            </w:r>
          </w:p>
        </w:tc>
        <w:tc>
          <w:tcPr>
            <w:tcW w:w="9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spacing w:lineRule="auto" w:line="276"/>
              <w:rPr>
                <w:sz w:val="20"/>
                <w:szCs w:val="20"/>
              </w:rPr>
            </w:pPr>
            <w:r>
              <w:rPr>
                <w:color w:val="000000"/>
                <w:sz w:val="20"/>
                <w:szCs w:val="20"/>
              </w:rPr>
              <w:t>0,00</w:t>
            </w:r>
          </w:p>
        </w:tc>
      </w:tr>
    </w:tbl>
    <w:p>
      <w:pPr>
        <w:pStyle w:val="Style85"/>
        <w:ind w:hanging="0"/>
        <w:rPr/>
      </w:pPr>
      <w:bookmarkStart w:id="69" w:name="_Ref36998304"/>
      <w:bookmarkStart w:id="70" w:name="_Ref532225164"/>
      <w:r>
        <w:rPr/>
        <w:t xml:space="preserve">Таблица </w:t>
      </w:r>
      <w:r>
        <w:rPr/>
        <w:fldChar w:fldCharType="begin"/>
      </w:r>
      <w:r>
        <w:rPr/>
        <w:instrText> SEQ Таблица \* ARABIC </w:instrText>
      </w:r>
      <w:r>
        <w:rPr/>
        <w:fldChar w:fldCharType="separate"/>
      </w:r>
      <w:r>
        <w:rPr/>
        <w:t>2</w:t>
      </w:r>
      <w:r>
        <w:rPr/>
        <w:fldChar w:fldCharType="end"/>
      </w:r>
      <w:bookmarkEnd w:id="69"/>
      <w:bookmarkEnd w:id="70"/>
      <w:r>
        <w:rPr/>
        <w:t xml:space="preserve">. </w:t>
      </w:r>
      <w:bookmarkStart w:id="71" w:name="_Hlk36998148"/>
      <w:r>
        <w:rPr/>
        <w:t>Потребление тепловой энергии по зонам действия котельных</w:t>
      </w:r>
      <w:bookmarkEnd w:id="71"/>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2318"/>
        <w:gridCol w:w="981"/>
        <w:gridCol w:w="1539"/>
        <w:gridCol w:w="765"/>
        <w:gridCol w:w="2"/>
        <w:gridCol w:w="1536"/>
        <w:gridCol w:w="764"/>
        <w:gridCol w:w="3"/>
        <w:gridCol w:w="1536"/>
        <w:gridCol w:w="759"/>
      </w:tblGrid>
      <w:tr>
        <w:trPr>
          <w:tblHeader w:val="true"/>
          <w:trHeight w:val="20" w:hRule="atLeast"/>
        </w:trPr>
        <w:tc>
          <w:tcPr>
            <w:tcW w:w="23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Наименование котельной</w:t>
            </w:r>
          </w:p>
        </w:tc>
        <w:tc>
          <w:tcPr>
            <w:tcW w:w="7885"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Присоединенная договорная нагрузка потребителей в сетевой воде, Гкал/ч</w:t>
            </w:r>
          </w:p>
        </w:tc>
      </w:tr>
      <w:tr>
        <w:trPr>
          <w:tblHeader w:val="true"/>
          <w:trHeight w:val="20" w:hRule="atLeast"/>
        </w:trPr>
        <w:tc>
          <w:tcPr>
            <w:tcW w:w="23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r>
          </w:p>
        </w:tc>
        <w:tc>
          <w:tcPr>
            <w:tcW w:w="98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Всего:</w:t>
            </w:r>
          </w:p>
        </w:tc>
        <w:tc>
          <w:tcPr>
            <w:tcW w:w="2304"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Жилой фонд</w:t>
            </w:r>
          </w:p>
        </w:tc>
        <w:tc>
          <w:tcPr>
            <w:tcW w:w="23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СКБ</w:t>
            </w:r>
          </w:p>
        </w:tc>
        <w:tc>
          <w:tcPr>
            <w:tcW w:w="229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Прочие (Юр. лица)</w:t>
            </w:r>
          </w:p>
        </w:tc>
      </w:tr>
      <w:tr>
        <w:trPr>
          <w:tblHeader w:val="true"/>
          <w:trHeight w:val="20" w:hRule="atLeast"/>
        </w:trPr>
        <w:tc>
          <w:tcPr>
            <w:tcW w:w="23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r>
          </w:p>
        </w:tc>
        <w:tc>
          <w:tcPr>
            <w:tcW w:w="98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Отопление вентиляция</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ГВС</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Отопление вентиляция</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ГВС</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Отопление вентиляция</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ГВС</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«Пролетарская»</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11,91</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9,66</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0,33</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«Железнодорожная»</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6,27</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4,18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1,54</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«К.Либкнехта 28</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0,03</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0,03</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«Стадион»</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1,76</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0,42</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"ЗСМ"</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9,51</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7,91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1,24</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«Р. Люксембург»</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3,03</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2,11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0,65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0,28</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«Константиновка»</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2,41</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2,29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0,02</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«КГТТ»</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1,95</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1,48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«ПЛ-16»</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0,32</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0,06</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0,26</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«Школа №1»</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0,80</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«ОВД»</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0,28</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«Школа №7»</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0,15</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«Школа №58»</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0,36</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0,04</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«Орбита»</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0,19</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«Инженерный центр»</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2,12</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0,72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0,22</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«Плодопитомник»</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0,88</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«Сельэнерго»</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0,17</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«Агроспецмонтаж»</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0,54</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«ПДУ»</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0,31</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0,01</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«Пригородный»</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0,29</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«КЭЧ»</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0,27</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«Виток»</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0,19</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Котельная «Гор.баня»</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0,79</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0,71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Филиал № 2 ФГКУ "354 ВКГ" МО РФ</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0,77</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в/ч 75485</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0,90</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0,23</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0,67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ОАО «РЖД»</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0,22</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0,22</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УИЗ</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4,51</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3,36</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0,94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0,21</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ЛТЦ</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0,19</w:t>
            </w:r>
          </w:p>
        </w:tc>
        <w:tc>
          <w:tcPr>
            <w:tcW w:w="1539" w:type="dxa"/>
            <w:tcBorders>
              <w:top w:val="single" w:sz="4" w:space="0" w:color="000000"/>
              <w:left w:val="single" w:sz="8" w:space="0" w:color="000000"/>
              <w:bottom w:val="single" w:sz="4" w:space="0" w:color="000000"/>
              <w:right w:val="single" w:sz="8" w:space="0" w:color="000000"/>
            </w:tcBorders>
            <w:shd w:fill="auto" w:val="clear"/>
            <w:vAlign w:val="center"/>
          </w:tcPr>
          <w:p>
            <w:pPr>
              <w:pStyle w:val="Normal"/>
              <w:jc w:val="center"/>
              <w:rPr>
                <w:color w:val="000000"/>
                <w:sz w:val="20"/>
                <w:szCs w:val="20"/>
              </w:rPr>
            </w:pPr>
            <w:r>
              <w:rPr>
                <w:color w:val="000000"/>
                <w:sz w:val="20"/>
                <w:szCs w:val="20"/>
              </w:rPr>
              <w:t>0,19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0,00</w:t>
            </w:r>
          </w:p>
        </w:tc>
      </w:tr>
      <w:tr>
        <w:trPr>
          <w:trHeight w:val="20" w:hRule="atLeast"/>
        </w:trPr>
        <w:tc>
          <w:tcPr>
            <w:tcW w:w="231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Итого:</w:t>
            </w:r>
          </w:p>
        </w:tc>
        <w:tc>
          <w:tcPr>
            <w:tcW w:w="9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51,10</w:t>
            </w:r>
          </w:p>
        </w:tc>
        <w:tc>
          <w:tcPr>
            <w:tcW w:w="15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36,42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10,04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0,00</w:t>
            </w:r>
          </w:p>
        </w:tc>
        <w:tc>
          <w:tcPr>
            <w:tcW w:w="15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4,63</w:t>
            </w:r>
          </w:p>
        </w:tc>
        <w:tc>
          <w:tcPr>
            <w:tcW w:w="7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0,00</w:t>
            </w:r>
          </w:p>
        </w:tc>
      </w:tr>
    </w:tbl>
    <w:p>
      <w:pPr>
        <w:pStyle w:val="A1"/>
        <w:rPr/>
      </w:pPr>
      <w:r>
        <w:rPr/>
      </w:r>
    </w:p>
    <w:p>
      <w:pPr>
        <w:pStyle w:val="A1"/>
        <w:rPr/>
      </w:pPr>
      <w:r>
        <w:rPr/>
        <w:t>На территории Камышловского городского округа утверждены следующие проекты планировки и межевания территории:</w:t>
      </w:r>
    </w:p>
    <w:p>
      <w:pPr>
        <w:pStyle w:val="Style92"/>
        <w:numPr>
          <w:ilvl w:val="0"/>
          <w:numId w:val="4"/>
        </w:numPr>
        <w:spacing w:lineRule="auto" w:line="276"/>
        <w:ind w:left="0" w:firstLine="567"/>
        <w:rPr/>
      </w:pPr>
      <w:r>
        <w:rPr/>
        <w:t>Проект планировки и проект межевания микрорайона в северо-восточной части Камышловского городского округа, расположенного в границах улицы Карловарской - железной дороги – границы Камышловского городского округа.</w:t>
      </w:r>
    </w:p>
    <w:p>
      <w:pPr>
        <w:pStyle w:val="A1"/>
        <w:rPr/>
      </w:pPr>
      <w:r>
        <w:rPr/>
        <w:t>Согласно материалам проекта планировки территория проектирования занимает площадь 44,65 га. Площадка предоставлена под размещение индивидуальной жилой застройки и малоэтажной секционной жилой застройки с размещением объектов обслуживания населения, также под организацию детского дошкольного учреждения и многопрофильного учреждения детского культурного и спортивного развития с зоной отдыха и размещением спортивных площадок.</w:t>
      </w:r>
    </w:p>
    <w:p>
      <w:pPr>
        <w:pStyle w:val="A1"/>
        <w:rPr/>
      </w:pPr>
      <w:r>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w:t>
      </w:r>
    </w:p>
    <w:p>
      <w:pPr>
        <w:pStyle w:val="A1"/>
        <w:rPr/>
      </w:pPr>
      <w:r>
        <w:rPr>
          <w:sz w:val="28"/>
          <w:szCs w:val="28"/>
        </w:rPr>
        <w:t xml:space="preserve"> </w:t>
      </w:r>
      <w:r>
        <w:rPr/>
        <w:t>Общий расчетный объем потребления тепла на отопление проектируемой застройки –</w:t>
        <w:br/>
        <w:t>5,85 Гкал/час.</w:t>
      </w:r>
    </w:p>
    <w:p>
      <w:pPr>
        <w:pStyle w:val="Style85"/>
        <w:rPr/>
      </w:pPr>
      <w:r>
        <w:rPr/>
        <w:t xml:space="preserve">Таблица </w:t>
      </w:r>
      <w:r>
        <w:rPr/>
        <w:fldChar w:fldCharType="begin"/>
      </w:r>
      <w:r>
        <w:rPr/>
        <w:instrText> SEQ Таблица \* ARABIC </w:instrText>
      </w:r>
      <w:r>
        <w:rPr/>
        <w:fldChar w:fldCharType="separate"/>
      </w:r>
      <w:r>
        <w:rPr/>
        <w:t>3</w:t>
      </w:r>
      <w:r>
        <w:rPr/>
        <w:fldChar w:fldCharType="end"/>
      </w:r>
      <w:r>
        <w:rPr/>
        <w:t>. Общие показатели проектируемой жилой застройки</w:t>
      </w:r>
    </w:p>
    <w:tbl>
      <w:tblPr>
        <w:tblW w:w="9923" w:type="dxa"/>
        <w:jc w:val="center"/>
        <w:tblInd w:w="0" w:type="dxa"/>
        <w:tblCellMar>
          <w:top w:w="0" w:type="dxa"/>
          <w:left w:w="5" w:type="dxa"/>
          <w:bottom w:w="0" w:type="dxa"/>
          <w:right w:w="5" w:type="dxa"/>
        </w:tblCellMar>
        <w:tblLook w:firstRow="1" w:noVBand="0" w:lastRow="1" w:firstColumn="1" w:lastColumn="1" w:noHBand="0" w:val="01e0"/>
      </w:tblPr>
      <w:tblGrid>
        <w:gridCol w:w="586"/>
        <w:gridCol w:w="5870"/>
        <w:gridCol w:w="1918"/>
        <w:gridCol w:w="1548"/>
      </w:tblGrid>
      <w:tr>
        <w:trPr>
          <w:trHeight w:val="850"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Наименование показателей и единица измерения</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Индивидуальная жилая застройка</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Среднеэтажная жилая застройка</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Новое строительство, тыс. кв.м, в том числе:</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19,32</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4,08</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 чел.</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438</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780</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Убыль жилищного фонда, тыс. кв. м.,</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r>
      <w:tr>
        <w:trPr>
          <w:trHeight w:val="345"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Общ. площадь квартир, домов, кв. м</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21900,0</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19500,0</w:t>
            </w:r>
          </w:p>
        </w:tc>
      </w:tr>
    </w:tbl>
    <w:p>
      <w:pPr>
        <w:pStyle w:val="Style92"/>
        <w:numPr>
          <w:ilvl w:val="0"/>
          <w:numId w:val="4"/>
        </w:numPr>
        <w:spacing w:lineRule="auto" w:line="276"/>
        <w:ind w:left="0" w:firstLine="567"/>
        <w:rPr/>
      </w:pPr>
      <w:r>
        <w:rPr/>
        <w:t>Проект планировки микрорайона в западной части Камышловского городского округа, расположенный в границах ул. Полевой – ул. Вайнера – ул. Садовая – ул. Агрономической – ул. Кооперативной - железной дороги</w:t>
      </w:r>
    </w:p>
    <w:p>
      <w:pPr>
        <w:pStyle w:val="A1"/>
        <w:rPr/>
      </w:pPr>
      <w:r>
        <w:rPr/>
        <w:t>Согласно материалам проекта планировки территория проектирования занимает площадь 189,17 га. Площадка предоставлена под размещение индивидуальной жилой застройки и блокированной жилой застройки с размещением объектов обслуживания населения, также под организацию детских дошкольных учреждений, школы и многопрофильных учреждений культурного и спортивного развития с зоной отдыха и размещением спортивных площадок.</w:t>
      </w:r>
    </w:p>
    <w:p>
      <w:pPr>
        <w:pStyle w:val="A1"/>
        <w:rPr/>
      </w:pPr>
      <w:r>
        <w:rPr/>
        <w:t>Проектом предусматривается обеспечить централизованной системой теплоснабжения объекты общественного и социального назначения 2 очереди и расчетного срока (школа, детские дошкольные учреждения, клуб, спортзал). Источником теплоснабжения является проектируемая на 2 очередь строительства газовая котельная мощностью 1,05 Гкал/час. К котельной подведен газопровод давлением 0,6МПа.</w:t>
      </w:r>
    </w:p>
    <w:p>
      <w:pPr>
        <w:pStyle w:val="A1"/>
        <w:rPr/>
      </w:pPr>
      <w:r>
        <w:rPr/>
        <w:t>Система теплоснабжения предлагается четырехтрубная, подземной прокладки. Диаметр проектируемых тепловых сетей: отопление Т1Т2 Ду=100 мм; горячее водоснабжение Т3 Ду=70 мм, Т4 Ду=50 мм.</w:t>
      </w:r>
    </w:p>
    <w:p>
      <w:pPr>
        <w:pStyle w:val="Style85"/>
        <w:rPr/>
      </w:pPr>
      <w:r>
        <w:rPr/>
        <w:t xml:space="preserve">Таблица </w:t>
      </w:r>
      <w:r>
        <w:rPr/>
        <w:fldChar w:fldCharType="begin"/>
      </w:r>
      <w:r>
        <w:rPr/>
        <w:instrText> SEQ Таблица \* ARABIC </w:instrText>
      </w:r>
      <w:r>
        <w:rPr/>
        <w:fldChar w:fldCharType="separate"/>
      </w:r>
      <w:r>
        <w:rPr/>
        <w:t>4</w:t>
      </w:r>
      <w:r>
        <w:rPr/>
        <w:fldChar w:fldCharType="end"/>
      </w:r>
      <w:r>
        <w:rPr/>
        <w:t>. Общие показатели проектируемой жилой застройки</w:t>
      </w:r>
    </w:p>
    <w:tbl>
      <w:tblPr>
        <w:tblW w:w="9923" w:type="dxa"/>
        <w:jc w:val="center"/>
        <w:tblInd w:w="0" w:type="dxa"/>
        <w:tblCellMar>
          <w:top w:w="0" w:type="dxa"/>
          <w:left w:w="5" w:type="dxa"/>
          <w:bottom w:w="0" w:type="dxa"/>
          <w:right w:w="5" w:type="dxa"/>
        </w:tblCellMar>
        <w:tblLook w:firstRow="1" w:noVBand="0" w:lastRow="1" w:firstColumn="1" w:lastColumn="1" w:noHBand="0" w:val="01e0"/>
      </w:tblPr>
      <w:tblGrid>
        <w:gridCol w:w="586"/>
        <w:gridCol w:w="5870"/>
        <w:gridCol w:w="1918"/>
        <w:gridCol w:w="1548"/>
      </w:tblGrid>
      <w:tr>
        <w:trPr>
          <w:trHeight w:val="850"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Наименование показателей и единица измерения</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Индивидуальная жилая застройка</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bCs/>
              </w:rPr>
            </w:pPr>
            <w:r>
              <w:rPr>
                <w:bCs/>
              </w:rPr>
              <w:t>Блокированная жилая застройка</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Новое строительство, тыс. кв.м, в том числе:</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32,58</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4,37</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 чел.</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992</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413</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Убыль жилищного фонда, тыс. кв. м.,</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r>
      <w:tr>
        <w:trPr>
          <w:trHeight w:val="345"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Общ. площадь квартир, домов, кв. м</w:t>
            </w:r>
          </w:p>
        </w:tc>
        <w:tc>
          <w:tcPr>
            <w:tcW w:w="191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47782,7</w:t>
            </w:r>
          </w:p>
        </w:tc>
        <w:tc>
          <w:tcPr>
            <w:tcW w:w="15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15230,2</w:t>
            </w:r>
          </w:p>
        </w:tc>
      </w:tr>
    </w:tbl>
    <w:p>
      <w:pPr>
        <w:pStyle w:val="A1"/>
        <w:rPr/>
      </w:pPr>
      <w:r>
        <w:rPr/>
      </w:r>
    </w:p>
    <w:p>
      <w:pPr>
        <w:pStyle w:val="Style92"/>
        <w:numPr>
          <w:ilvl w:val="0"/>
          <w:numId w:val="4"/>
        </w:numPr>
        <w:spacing w:lineRule="auto" w:line="276"/>
        <w:ind w:left="0" w:firstLine="567"/>
        <w:rPr/>
      </w:pPr>
      <w:r>
        <w:rPr/>
        <w:t>Проект планировки микрорайона в центральной части Камышловского городского округа, расположенного в границах улиц: Кр.Орлов, Вокзальная, Ленинградская, Энгельса, Ленина</w:t>
      </w:r>
    </w:p>
    <w:p>
      <w:pPr>
        <w:pStyle w:val="A1"/>
        <w:rPr/>
      </w:pPr>
      <w:r>
        <w:rPr/>
        <w:t xml:space="preserve">Согласно материалам проекта планировки в зоне размещения застройки индивидуальными жилыми домами предполагаются мероприятия по реконструкции и обновлению жилых домов по мере их износа. </w:t>
      </w:r>
    </w:p>
    <w:p>
      <w:pPr>
        <w:pStyle w:val="A1"/>
        <w:rPr/>
      </w:pPr>
      <w:r>
        <w:rPr/>
        <w:t xml:space="preserve">В границах проектирования имеется четыре аварийных жилых дома. По адресу ул. Ленинградская, 39 размещается объект культурного наследия областного значения «Дом, в котором жил Герой Советского Союза Черепанов Степан Михайлович», который подлежит сохранению с проведением мероприятий по реконструкции. Остальные аварийные дома находятся в санитарно-защитной зоне автовокзала, поэтому после сноса на их месте возможно размещение объектов разрешенных для размещения в санитарно-защитных зонах, но с учетом близости существующей жилой застройки (объекты социального и культурно-бытового обслуживания, например, магазин, административное здание и т.п.). </w:t>
      </w:r>
    </w:p>
    <w:p>
      <w:pPr>
        <w:pStyle w:val="A1"/>
        <w:rPr>
          <w:bCs/>
          <w:sz w:val="26"/>
          <w:szCs w:val="26"/>
        </w:rPr>
      </w:pPr>
      <w:r>
        <w:rPr/>
        <w:t>Кварталы существующей застройки малоэтажными (2-3 этажа) секционными жилыми домами сохраняются, но на перспективу проектом планировки предлагается вынос индивидуальных гаражей, хозяйственных построек, расположенных на внутриквартальных территориях, в увязке с решением вопросов собственности на участки. Это соответствует пункту 10.27 Местных нормативов градостроительного проектирования Камышловского городского округа Свердловской области: «в жилых кварталах (микрорайонах), в зонах интенсивного использования городской территории устройство отдельно расположенных гаражей боксового типа не допускается». В дальнейшем территории дворов могут быть озеленены и благоустроены с организацией асфальтированных проездов к жилым домам, парковочных мест, исходя из территориальных возможностей и с соблюдением санитарных разрывов до окон, созданием площадок отдыха детей и взрослых, площадок для мусоросборников.</w:t>
      </w:r>
      <w:r>
        <w:rPr>
          <w:bCs/>
          <w:sz w:val="26"/>
          <w:szCs w:val="26"/>
        </w:rPr>
        <w:t xml:space="preserve"> </w:t>
      </w:r>
      <w:r>
        <w:rPr>
          <w:rFonts w:eastAsia="Times New Roman"/>
          <w:bCs/>
          <w:sz w:val="26"/>
          <w:szCs w:val="26"/>
          <w:lang w:eastAsia="ru-RU"/>
        </w:rPr>
        <w:t>Общая площадь жилого фонда составляет 47,16 тыс. м</w:t>
      </w:r>
      <w:r>
        <w:rPr>
          <w:rFonts w:eastAsia="Times New Roman"/>
          <w:bCs/>
          <w:sz w:val="26"/>
          <w:szCs w:val="26"/>
          <w:vertAlign w:val="superscript"/>
          <w:lang w:eastAsia="ru-RU"/>
        </w:rPr>
        <w:t>2</w:t>
      </w:r>
      <w:r>
        <w:rPr>
          <w:rFonts w:eastAsia="Times New Roman"/>
          <w:bCs/>
          <w:sz w:val="26"/>
          <w:szCs w:val="26"/>
          <w:lang w:eastAsia="ru-RU"/>
        </w:rPr>
        <w:t>.</w:t>
      </w:r>
    </w:p>
    <w:p>
      <w:pPr>
        <w:pStyle w:val="A1"/>
        <w:rPr/>
      </w:pPr>
      <w:r>
        <w:rPr/>
        <w:t>Теплопотребление жилой застройки и объектов административного и культурно-социального назначения составит 10,19 Гкал/час.</w:t>
      </w:r>
    </w:p>
    <w:p>
      <w:pPr>
        <w:pStyle w:val="A1"/>
        <w:rPr/>
      </w:pPr>
      <w:r>
        <w:rPr/>
        <w:t>Настоящим проектом основными источниками теплоснабжения приняты: существующая газовая котельная «Железнодорожная» мощностью 39,96 Гкал/час, расположенная по ул.Железнодорожная, 17; проектная блочно-модульная газовая котельная (БМК) мощностью 11МВт/9,5 Гкал/час с намеченным местом размещения по ул. Горького,15.</w:t>
      </w:r>
    </w:p>
    <w:p>
      <w:pPr>
        <w:pStyle w:val="A1"/>
        <w:rPr/>
      </w:pPr>
      <w:r>
        <w:rPr/>
        <w:t xml:space="preserve"> </w:t>
      </w:r>
      <w:r>
        <w:rPr/>
        <w:t>Угольная котельная «Инженерный центр», расположенная по ул.</w:t>
      </w:r>
      <w:r>
        <w:rPr>
          <w:color w:val="FFFFFF"/>
        </w:rPr>
        <w:t xml:space="preserve"> </w:t>
      </w:r>
      <w:r>
        <w:rPr/>
        <w:t>Советская,7, подлежит ликвидации по причине неудовлетворительного состояния оборудования и здания котельной, низкого КПД (41,1%) выработки тепла, неустойчивой работы системы котельной, а также невозможность создания зоны санитарной охраны.</w:t>
      </w:r>
    </w:p>
    <w:p>
      <w:pPr>
        <w:pStyle w:val="A1"/>
        <w:rPr>
          <w:rFonts w:eastAsia="Times New Roman"/>
          <w:sz w:val="26"/>
          <w:szCs w:val="26"/>
          <w:lang w:eastAsia="ru-RU"/>
        </w:rPr>
      </w:pPr>
      <w:r>
        <w:rPr>
          <w:rFonts w:eastAsia="Times New Roman"/>
          <w:bCs/>
          <w:sz w:val="26"/>
          <w:szCs w:val="26"/>
          <w:lang w:bidi="en-US"/>
        </w:rPr>
        <w:t xml:space="preserve">Теплоснабжение потребителей, расположенных в границах </w:t>
      </w:r>
      <w:r>
        <w:rPr>
          <w:rFonts w:eastAsia="Times New Roman"/>
          <w:sz w:val="26"/>
          <w:szCs w:val="26"/>
          <w:lang w:eastAsia="ru-RU"/>
        </w:rPr>
        <w:t>ул.</w:t>
      </w:r>
      <w:r>
        <w:rPr>
          <w:rFonts w:eastAsia="Times New Roman"/>
          <w:color w:val="FFFFFF"/>
          <w:sz w:val="26"/>
          <w:szCs w:val="26"/>
          <w:lang w:eastAsia="ru-RU"/>
        </w:rPr>
        <w:t>.</w:t>
      </w:r>
      <w:r>
        <w:rPr>
          <w:rFonts w:eastAsia="Times New Roman"/>
          <w:sz w:val="26"/>
          <w:szCs w:val="26"/>
          <w:lang w:eastAsia="ru-RU"/>
        </w:rPr>
        <w:t>Гагарина</w:t>
      </w:r>
      <w:r>
        <w:rPr>
          <w:rFonts w:eastAsia="Times New Roman"/>
          <w:color w:val="FFFFFF"/>
          <w:sz w:val="26"/>
          <w:szCs w:val="26"/>
          <w:lang w:eastAsia="ru-RU"/>
        </w:rPr>
        <w:t>.</w:t>
      </w:r>
      <w:r>
        <w:rPr>
          <w:rFonts w:eastAsia="Times New Roman"/>
          <w:sz w:val="26"/>
          <w:szCs w:val="26"/>
          <w:lang w:eastAsia="ru-RU"/>
        </w:rPr>
        <w:t>-Куйбышева</w:t>
      </w:r>
      <w:r>
        <w:rPr>
          <w:rFonts w:eastAsia="Times New Roman"/>
          <w:color w:val="FFFFFF"/>
          <w:sz w:val="26"/>
          <w:szCs w:val="26"/>
          <w:lang w:eastAsia="ru-RU"/>
        </w:rPr>
        <w:t>.</w:t>
      </w:r>
      <w:r>
        <w:rPr>
          <w:rFonts w:eastAsia="Times New Roman"/>
          <w:sz w:val="26"/>
          <w:szCs w:val="26"/>
          <w:lang w:eastAsia="ru-RU"/>
        </w:rPr>
        <w:t>-</w:t>
      </w:r>
      <w:r>
        <w:rPr>
          <w:rFonts w:eastAsia="Times New Roman"/>
          <w:color w:val="FFFFFF"/>
          <w:sz w:val="26"/>
          <w:szCs w:val="26"/>
          <w:lang w:eastAsia="ru-RU"/>
        </w:rPr>
        <w:t>.</w:t>
      </w:r>
      <w:r>
        <w:rPr>
          <w:rFonts w:eastAsia="Times New Roman"/>
          <w:sz w:val="26"/>
          <w:szCs w:val="26"/>
          <w:lang w:eastAsia="ru-RU"/>
        </w:rPr>
        <w:t>Ленинградская</w:t>
      </w:r>
      <w:r>
        <w:rPr>
          <w:rFonts w:eastAsia="Times New Roman"/>
          <w:color w:val="FFFFFF"/>
          <w:sz w:val="26"/>
          <w:szCs w:val="26"/>
          <w:lang w:eastAsia="ru-RU"/>
        </w:rPr>
        <w:t>.</w:t>
      </w:r>
      <w:r>
        <w:rPr>
          <w:rFonts w:eastAsia="Times New Roman"/>
          <w:sz w:val="26"/>
          <w:szCs w:val="26"/>
          <w:lang w:eastAsia="ru-RU"/>
        </w:rPr>
        <w:t>-</w:t>
      </w:r>
      <w:r>
        <w:rPr>
          <w:rFonts w:eastAsia="Times New Roman"/>
          <w:color w:val="FFFFFF"/>
          <w:sz w:val="26"/>
          <w:szCs w:val="26"/>
          <w:lang w:eastAsia="ru-RU"/>
        </w:rPr>
        <w:t>.</w:t>
      </w:r>
      <w:r>
        <w:rPr>
          <w:rFonts w:eastAsia="Times New Roman"/>
          <w:sz w:val="26"/>
          <w:szCs w:val="26"/>
          <w:lang w:eastAsia="ru-RU"/>
        </w:rPr>
        <w:t>Комсомольская и жилого дома по ул.</w:t>
      </w:r>
      <w:r>
        <w:rPr>
          <w:rFonts w:eastAsia="Times New Roman"/>
          <w:color w:val="FFFFFF"/>
          <w:sz w:val="26"/>
          <w:szCs w:val="26"/>
          <w:lang w:eastAsia="ru-RU"/>
        </w:rPr>
        <w:t>.</w:t>
      </w:r>
      <w:r>
        <w:rPr>
          <w:rFonts w:eastAsia="Times New Roman"/>
          <w:sz w:val="26"/>
          <w:szCs w:val="26"/>
          <w:lang w:eastAsia="ru-RU"/>
        </w:rPr>
        <w:t>Гагарина,</w:t>
      </w:r>
      <w:r>
        <w:rPr>
          <w:rFonts w:eastAsia="Times New Roman"/>
          <w:color w:val="FFFFFF"/>
          <w:sz w:val="26"/>
          <w:szCs w:val="26"/>
          <w:lang w:eastAsia="ru-RU"/>
        </w:rPr>
        <w:t>.</w:t>
      </w:r>
      <w:r>
        <w:rPr>
          <w:rFonts w:eastAsia="Times New Roman"/>
          <w:sz w:val="26"/>
          <w:szCs w:val="26"/>
          <w:lang w:eastAsia="ru-RU"/>
        </w:rPr>
        <w:t>20 сохраняется по существующей схеме теплоснабжения от котельной «Железнодорожная» по  теплопроводу 2</w:t>
      </w:r>
      <w:r>
        <w:rPr>
          <w:rFonts w:eastAsia="Times New Roman"/>
          <w:sz w:val="26"/>
          <w:szCs w:val="26"/>
          <w:lang w:val="en-US" w:eastAsia="ru-RU"/>
        </w:rPr>
        <w:t>D</w:t>
      </w:r>
      <w:r>
        <w:rPr>
          <w:rFonts w:eastAsia="Times New Roman"/>
          <w:sz w:val="26"/>
          <w:szCs w:val="26"/>
          <w:lang w:eastAsia="ru-RU"/>
        </w:rPr>
        <w:t xml:space="preserve">=200, 150 мм от теплового колодцаТК-10.  </w:t>
      </w:r>
    </w:p>
    <w:p>
      <w:pPr>
        <w:pStyle w:val="A1"/>
        <w:rPr>
          <w:rFonts w:eastAsia="Times New Roman"/>
          <w:sz w:val="26"/>
          <w:szCs w:val="26"/>
          <w:lang w:eastAsia="ru-RU"/>
        </w:rPr>
      </w:pPr>
      <w:r>
        <w:rPr>
          <w:rFonts w:eastAsia="Times New Roman"/>
          <w:sz w:val="26"/>
          <w:szCs w:val="26"/>
          <w:lang w:eastAsia="ru-RU"/>
        </w:rPr>
        <w:t>Теплоснабжение застройки, расположенной в границах ул</w:t>
      </w:r>
      <w:r>
        <w:rPr>
          <w:sz w:val="26"/>
          <w:szCs w:val="26"/>
        </w:rPr>
        <w:t xml:space="preserve">. </w:t>
      </w:r>
      <w:r>
        <w:rPr>
          <w:rFonts w:eastAsia="Times New Roman"/>
          <w:sz w:val="26"/>
          <w:szCs w:val="26"/>
          <w:lang w:eastAsia="ru-RU"/>
        </w:rPr>
        <w:t>Ленина</w:t>
      </w:r>
      <w:r>
        <w:rPr>
          <w:rFonts w:eastAsia="Times New Roman"/>
          <w:color w:val="FFFFFF"/>
          <w:sz w:val="26"/>
          <w:szCs w:val="26"/>
          <w:lang w:eastAsia="ru-RU"/>
        </w:rPr>
        <w:t>.</w:t>
      </w:r>
      <w:r>
        <w:rPr>
          <w:rFonts w:eastAsia="Times New Roman"/>
          <w:sz w:val="26"/>
          <w:szCs w:val="26"/>
          <w:lang w:eastAsia="ru-RU"/>
        </w:rPr>
        <w:t>-Красных Орлов</w:t>
      </w:r>
      <w:r>
        <w:rPr>
          <w:rFonts w:eastAsia="Times New Roman"/>
          <w:color w:val="FFFFFF"/>
          <w:sz w:val="26"/>
          <w:szCs w:val="26"/>
          <w:lang w:eastAsia="ru-RU"/>
        </w:rPr>
        <w:t>.</w:t>
      </w:r>
      <w:r>
        <w:rPr>
          <w:rFonts w:eastAsia="Times New Roman"/>
          <w:sz w:val="26"/>
          <w:szCs w:val="26"/>
          <w:lang w:eastAsia="ru-RU"/>
        </w:rPr>
        <w:t>-Вокзальная - Куйбышева, сохраняется по теплопроводу 2</w:t>
      </w:r>
      <w:r>
        <w:rPr>
          <w:rFonts w:eastAsia="Times New Roman"/>
          <w:sz w:val="26"/>
          <w:szCs w:val="26"/>
          <w:lang w:val="en-US" w:eastAsia="ru-RU"/>
        </w:rPr>
        <w:t>D</w:t>
      </w:r>
      <w:r>
        <w:rPr>
          <w:rFonts w:eastAsia="Times New Roman"/>
          <w:sz w:val="26"/>
          <w:szCs w:val="26"/>
          <w:lang w:eastAsia="ru-RU"/>
        </w:rPr>
        <w:t>=200</w:t>
      </w:r>
      <w:r>
        <w:rPr>
          <w:rFonts w:eastAsia="Times New Roman"/>
          <w:color w:val="FFFFFF"/>
          <w:sz w:val="26"/>
          <w:szCs w:val="26"/>
          <w:lang w:eastAsia="ru-RU"/>
        </w:rPr>
        <w:t>.</w:t>
      </w:r>
      <w:r>
        <w:rPr>
          <w:rFonts w:eastAsia="Times New Roman"/>
          <w:sz w:val="26"/>
          <w:szCs w:val="26"/>
          <w:lang w:eastAsia="ru-RU"/>
        </w:rPr>
        <w:t>мм, проложенному по ул. Куйбышева</w:t>
      </w:r>
      <w:r>
        <w:rPr>
          <w:rFonts w:eastAsia="Times New Roman"/>
          <w:color w:val="FFFFFF"/>
          <w:sz w:val="26"/>
          <w:szCs w:val="26"/>
          <w:lang w:eastAsia="ru-RU"/>
        </w:rPr>
        <w:t>.</w:t>
      </w:r>
      <w:r>
        <w:rPr>
          <w:rFonts w:eastAsia="Times New Roman"/>
          <w:sz w:val="26"/>
          <w:szCs w:val="26"/>
          <w:lang w:eastAsia="ru-RU"/>
        </w:rPr>
        <w:t>-</w:t>
      </w:r>
      <w:r>
        <w:rPr>
          <w:rFonts w:eastAsia="Times New Roman"/>
          <w:color w:val="FFFFFF"/>
          <w:sz w:val="26"/>
          <w:szCs w:val="26"/>
          <w:lang w:eastAsia="ru-RU"/>
        </w:rPr>
        <w:t>.</w:t>
      </w:r>
      <w:r>
        <w:rPr>
          <w:rFonts w:eastAsia="Times New Roman"/>
          <w:sz w:val="26"/>
          <w:szCs w:val="26"/>
          <w:lang w:eastAsia="ru-RU"/>
        </w:rPr>
        <w:t>Гагарина, и теплопроводу  2</w:t>
      </w:r>
      <w:r>
        <w:rPr>
          <w:rFonts w:eastAsia="Times New Roman"/>
          <w:sz w:val="26"/>
          <w:szCs w:val="26"/>
          <w:lang w:val="en-US" w:eastAsia="ru-RU"/>
        </w:rPr>
        <w:t>D</w:t>
      </w:r>
      <w:r>
        <w:rPr>
          <w:rFonts w:eastAsia="Times New Roman"/>
          <w:sz w:val="26"/>
          <w:szCs w:val="26"/>
          <w:lang w:eastAsia="ru-RU"/>
        </w:rPr>
        <w:t>=100</w:t>
      </w:r>
      <w:r>
        <w:rPr>
          <w:rFonts w:eastAsia="Times New Roman"/>
          <w:color w:val="FFFFFF"/>
          <w:sz w:val="26"/>
          <w:szCs w:val="26"/>
          <w:lang w:eastAsia="ru-RU"/>
        </w:rPr>
        <w:t>.</w:t>
      </w:r>
      <w:r>
        <w:rPr>
          <w:rFonts w:eastAsia="Times New Roman"/>
          <w:sz w:val="26"/>
          <w:szCs w:val="26"/>
          <w:lang w:eastAsia="ru-RU"/>
        </w:rPr>
        <w:t>мм</w:t>
      </w:r>
      <w:r>
        <w:rPr>
          <w:rFonts w:eastAsia="Times New Roman"/>
          <w:color w:val="FFFFFF"/>
          <w:sz w:val="26"/>
          <w:szCs w:val="26"/>
          <w:lang w:eastAsia="ru-RU"/>
        </w:rPr>
        <w:t>.</w:t>
      </w:r>
      <w:r>
        <w:rPr>
          <w:rFonts w:eastAsia="Times New Roman"/>
          <w:sz w:val="26"/>
          <w:szCs w:val="26"/>
          <w:lang w:eastAsia="ru-RU"/>
        </w:rPr>
        <w:t>-</w:t>
      </w:r>
      <w:r>
        <w:rPr>
          <w:rFonts w:eastAsia="Times New Roman"/>
          <w:color w:val="FFFFFF"/>
          <w:sz w:val="26"/>
          <w:szCs w:val="26"/>
          <w:lang w:eastAsia="ru-RU"/>
        </w:rPr>
        <w:t>.</w:t>
      </w:r>
      <w:r>
        <w:rPr>
          <w:rFonts w:eastAsia="Times New Roman"/>
          <w:sz w:val="26"/>
          <w:szCs w:val="26"/>
          <w:lang w:eastAsia="ru-RU"/>
        </w:rPr>
        <w:t>по ул. Красных Орлов.</w:t>
      </w:r>
    </w:p>
    <w:p>
      <w:pPr>
        <w:pStyle w:val="A1"/>
        <w:rPr>
          <w:rFonts w:eastAsia="Times New Roman"/>
          <w:sz w:val="26"/>
          <w:szCs w:val="26"/>
          <w:lang w:eastAsia="ru-RU"/>
        </w:rPr>
      </w:pPr>
      <w:r>
        <w:rPr>
          <w:rFonts w:eastAsia="Times New Roman"/>
          <w:sz w:val="26"/>
          <w:szCs w:val="26"/>
          <w:lang w:eastAsia="ru-RU"/>
        </w:rPr>
        <w:t>В связи с ликвидацией котельной «Инженерный центр» проектом предусмотрено переключение потребителей этой котельной, котельной «ЗХК» и частично котельной «Железнодорожная» на проектируемую БМК (ул. Горького,15).</w:t>
      </w:r>
    </w:p>
    <w:p>
      <w:pPr>
        <w:pStyle w:val="A1"/>
        <w:rPr>
          <w:rFonts w:eastAsia="Times New Roman"/>
          <w:sz w:val="26"/>
          <w:szCs w:val="26"/>
          <w:lang w:eastAsia="ru-RU"/>
        </w:rPr>
      </w:pPr>
      <w:r>
        <w:rPr>
          <w:rFonts w:eastAsia="Times New Roman"/>
          <w:sz w:val="26"/>
          <w:szCs w:val="26"/>
          <w:lang w:eastAsia="ru-RU"/>
        </w:rPr>
        <w:t>В целях максимального сохранения существующих тепловых сетей проектом предлагается подача тепла от проектируемой БМК по основному теплопроводу 2</w:t>
      </w:r>
      <w:r>
        <w:rPr>
          <w:rFonts w:eastAsia="Times New Roman"/>
          <w:sz w:val="26"/>
          <w:szCs w:val="26"/>
          <w:lang w:val="en-US" w:eastAsia="ru-RU"/>
        </w:rPr>
        <w:t>D</w:t>
      </w:r>
      <w:r>
        <w:rPr>
          <w:rFonts w:eastAsia="Times New Roman"/>
          <w:sz w:val="26"/>
          <w:szCs w:val="26"/>
          <w:lang w:eastAsia="ru-RU"/>
        </w:rPr>
        <w:t>=250мм с прокладкой его по ул. Советская до колодца ТК-2, где возможно подключение потребителей по ул. Ленина, а также объектов административного и культурно-социального назначения, сосредоточенных на территории в границах ул.</w:t>
      </w:r>
      <w:r>
        <w:rPr>
          <w:rFonts w:eastAsia="Times New Roman"/>
          <w:color w:val="FFFFFF"/>
          <w:sz w:val="26"/>
          <w:szCs w:val="26"/>
          <w:lang w:eastAsia="ru-RU"/>
        </w:rPr>
        <w:t>.</w:t>
      </w:r>
      <w:r>
        <w:rPr>
          <w:rFonts w:eastAsia="Times New Roman"/>
          <w:sz w:val="26"/>
          <w:szCs w:val="26"/>
          <w:lang w:eastAsia="ru-RU"/>
        </w:rPr>
        <w:t>К.Маркса – Ленина – Энгельса - Гагарина.</w:t>
      </w:r>
    </w:p>
    <w:p>
      <w:pPr>
        <w:pStyle w:val="Style92"/>
        <w:numPr>
          <w:ilvl w:val="0"/>
          <w:numId w:val="4"/>
        </w:numPr>
        <w:spacing w:lineRule="auto" w:line="276"/>
        <w:ind w:left="0" w:firstLine="567"/>
        <w:rPr/>
      </w:pPr>
      <w:r>
        <w:rPr/>
        <w:t>Проект планировки в микрорайоне в северной части Камышловского городского округа</w:t>
      </w:r>
    </w:p>
    <w:p>
      <w:pPr>
        <w:pStyle w:val="A1"/>
        <w:rPr/>
      </w:pPr>
      <w:r>
        <w:rPr/>
        <w:t>Согласно материалам проекта планировки в западной части территории проектом предлагается разместить кварталы индивидуальных жилых домов с приусадебными участками площадью 0,08 – 0,17 га. Длинными сторонами кварталы вытянуты вдоль существующих и проектируемых меридиональных улиц. В северной части проектируемой территории, по проектному предложению, размещаются торговый комплекс, приют для животных, АЗС и кемпинг. В центральной части проектируемой территории размещается комплекс инженерно-технических объектов. Вдоль восточной границы сохраняется строчная группа существующих жилых домов. В юго-восточной части сохраняются кварталы индивидуальных жилых домов, а также участки существующих коммунальных и складских объектов. В центральной части территории, свободной от застройки, предлагается разместить участок озеленения общего пользования – парк с площадками отдыха и прогулочными дорожками.</w:t>
      </w:r>
    </w:p>
    <w:p>
      <w:pPr>
        <w:pStyle w:val="A1"/>
        <w:rPr>
          <w:szCs w:val="28"/>
        </w:rPr>
      </w:pPr>
      <w:r>
        <w:rPr>
          <w:szCs w:val="28"/>
        </w:rPr>
        <w:t>Теплоснабжение объектов производственного, коммунально-складского, социального и культурно-бытового обслуживания размещаемые в границах проектируемой территории предлагается обеспечить централизованной системой теплоснабжения. Согласно письму от МУП «Ресурсоснабжающая организация» от 25.04.2016г. для обеспечения теплоснабжения данных объектов необходимо разместить на территории блочно-модульную котельную мощностью 2,5 МВт. Проектом предлагается разместить ее на пересечении Улицы 6 и ул. Ирбитской, вид топлива – газ (т.к. предусматривается 100% газификация данного района).</w:t>
      </w:r>
    </w:p>
    <w:p>
      <w:pPr>
        <w:pStyle w:val="A1"/>
        <w:rPr/>
      </w:pPr>
      <w:r>
        <w:rPr/>
        <w:t xml:space="preserve">Проектная общественная застройка на расчетный срок – отопление 0,83 Гкал/час, </w:t>
        <w:br/>
        <w:t>ГВС 0,14 Гкал/час, вентиляция 0,1 Гкал/час.</w:t>
      </w:r>
    </w:p>
    <w:p>
      <w:pPr>
        <w:pStyle w:val="Style92"/>
        <w:numPr>
          <w:ilvl w:val="0"/>
          <w:numId w:val="4"/>
        </w:numPr>
        <w:spacing w:lineRule="auto" w:line="276"/>
        <w:ind w:left="0" w:firstLine="567"/>
        <w:rPr/>
      </w:pPr>
      <w:r>
        <w:rPr/>
        <w:t>Проект планировки в микрорайоне в центральной части Камышловского городского округа, ограниченный улицами Урицкого, К. Маркса, Маяковского, Свердлова</w:t>
      </w:r>
    </w:p>
    <w:p>
      <w:pPr>
        <w:pStyle w:val="A1"/>
        <w:rPr>
          <w:szCs w:val="28"/>
        </w:rPr>
      </w:pPr>
      <w:r>
        <w:rPr/>
        <w:t xml:space="preserve">Проектом предлагается на месте аварийного фонда по адресу ул. Свердлова, 34, ул. Карла Маркса, 45а и разрушенного здания по адресу ул. Комсомольская, 4 разместить новые индивидуальные дома. Так же на месте разрушенного здания бывшего детского сада (ул. Свердлова, 42) предлагается строительство многоквартирного 4-х этажного жилого дома, в котором на первом этаже разместятся объекты торговли. </w:t>
      </w:r>
      <w:r>
        <w:rPr>
          <w:szCs w:val="28"/>
        </w:rPr>
        <w:t>Население проектируемого участка определено в количестве 744 человека, из них существующее 699 человек.</w:t>
      </w:r>
    </w:p>
    <w:p>
      <w:pPr>
        <w:pStyle w:val="A1"/>
        <w:rPr>
          <w:szCs w:val="28"/>
        </w:rPr>
      </w:pPr>
      <w:r>
        <w:rPr>
          <w:szCs w:val="28"/>
        </w:rPr>
        <w:t xml:space="preserve">Жилищный фонд проектируемого участка составит </w:t>
      </w:r>
      <w:r>
        <w:rPr>
          <w:color w:val="000000"/>
          <w:szCs w:val="28"/>
        </w:rPr>
        <w:t>6087,4</w:t>
      </w:r>
      <w:r>
        <w:rPr>
          <w:szCs w:val="28"/>
        </w:rPr>
        <w:t xml:space="preserve"> кв.м., из которого 4279,5 кв.м существующий сохраняемый.</w:t>
      </w:r>
    </w:p>
    <w:p>
      <w:pPr>
        <w:pStyle w:val="A1"/>
        <w:rPr>
          <w:szCs w:val="28"/>
        </w:rPr>
      </w:pPr>
      <w:r>
        <w:rPr>
          <w:szCs w:val="28"/>
        </w:rPr>
        <w:t>Теплоснабжение проектируемой территории предусматривается по сложившейся системе. Теплоснабжение проектируемого многоквартирного дома возможно осуществить от существующей котельной, расположенной в границах проектируемой территории. Теплоснабжение проектируемой индивидуальной застройки возможно осуществлять от автономных источников (газовых установок).</w:t>
      </w:r>
    </w:p>
    <w:p>
      <w:pPr>
        <w:pStyle w:val="A1"/>
        <w:rPr/>
      </w:pPr>
      <w:r>
        <w:rPr/>
        <w:t xml:space="preserve">Проектная общественная застройка на расчетный срок – отопление 0,36 Гкал/час, </w:t>
        <w:br/>
        <w:t>вентиляция 0,054 Гкал/час, ГВС 0,052 Гкал/час.</w:t>
      </w:r>
    </w:p>
    <w:p>
      <w:pPr>
        <w:pStyle w:val="Style92"/>
        <w:numPr>
          <w:ilvl w:val="0"/>
          <w:numId w:val="4"/>
        </w:numPr>
        <w:spacing w:lineRule="auto" w:line="276"/>
        <w:ind w:left="0" w:firstLine="567"/>
        <w:rPr/>
      </w:pPr>
      <w:r>
        <w:rPr/>
        <w:t>Проект планировки в микрорайоне в западной части Камышловского городского округа, ограниченной улицами Энгельса, Садовая, Закамышловская, Кутузова</w:t>
      </w:r>
    </w:p>
    <w:p>
      <w:pPr>
        <w:pStyle w:val="A1"/>
        <w:rPr/>
      </w:pPr>
      <w:r>
        <w:rPr>
          <w:rStyle w:val="A"/>
        </w:rPr>
        <w:t>Согласно материалам</w:t>
      </w:r>
      <w:r>
        <w:rPr/>
        <w:t xml:space="preserve"> проекта планировки территория проектирования занимает площадь 4,3 га. Площадка предоставлена под организацию детского дошкольного учреждения.</w:t>
      </w:r>
    </w:p>
    <w:p>
      <w:pPr>
        <w:pStyle w:val="A1"/>
        <w:rPr>
          <w:szCs w:val="28"/>
        </w:rPr>
      </w:pPr>
      <w:r>
        <w:rPr>
          <w:szCs w:val="28"/>
        </w:rPr>
        <w:t xml:space="preserve">В связи с большой удаленностью источников централизованного теплоснабжения от границ проектируемой территории, а также с отсутствием резерва мощности данных источников, проектом предлагается устройство индивидуальных источников отопления для жилой застройки и торговых учреждений. </w:t>
      </w:r>
    </w:p>
    <w:p>
      <w:pPr>
        <w:pStyle w:val="A1"/>
        <w:rPr>
          <w:szCs w:val="28"/>
        </w:rPr>
      </w:pPr>
      <w:r>
        <w:rPr>
          <w:szCs w:val="28"/>
        </w:rPr>
        <w:t>Проектом предлагаются индивидуальные источники теплоснабжения работающие на газовом топливе (газовые котлы, встроено-пристроенные котельные и др.).</w:t>
      </w:r>
    </w:p>
    <w:p>
      <w:pPr>
        <w:pStyle w:val="A1"/>
        <w:rPr>
          <w:szCs w:val="28"/>
        </w:rPr>
      </w:pPr>
      <w:r>
        <w:rPr>
          <w:szCs w:val="28"/>
        </w:rPr>
        <w:t xml:space="preserve">Для бесперебойного теплоснабжения детского дошкольного учреждения (ДДУ) предусмотрено устройство модульной газовой котельной. Котельная расположена в отдельном здании, за границами ДДУ, в районе пересечения улиц: ул. Кутузова, ул. Закамышловская. </w:t>
      </w:r>
    </w:p>
    <w:p>
      <w:pPr>
        <w:pStyle w:val="A1"/>
        <w:rPr>
          <w:szCs w:val="28"/>
        </w:rPr>
      </w:pPr>
      <w:r>
        <w:rPr>
          <w:szCs w:val="28"/>
        </w:rPr>
        <w:t xml:space="preserve">Для подачи газа на котельную, необходимо строительство газопровода среднего давления от существующего газораспределительного пункта (ГРП). </w:t>
      </w:r>
    </w:p>
    <w:p>
      <w:pPr>
        <w:pStyle w:val="A1"/>
        <w:rPr/>
      </w:pPr>
      <w:r>
        <w:rPr>
          <w:szCs w:val="28"/>
        </w:rPr>
        <w:t>Система теплоснабжения предлагается четырехтрубная, подземной прокладки. Диаметр проектируемых тепловых сетей: о</w:t>
      </w:r>
      <w:r>
        <w:rPr/>
        <w:t>топление Т1Т2 Ду=100 мм; горячее водоснабжение Т3 Ду=70 мм, Т4 Ду=50 мм.</w:t>
      </w:r>
    </w:p>
    <w:p>
      <w:pPr>
        <w:pStyle w:val="A1"/>
        <w:rPr/>
      </w:pPr>
      <w:r>
        <w:rPr/>
        <w:t>Теплопотребление объектов административного и культурно-социального назначения – отопление 0,36 Гкал/час, вентиляция 0,054 Гкал/час, ГВС 0,052 Гкал/час.</w:t>
      </w:r>
    </w:p>
    <w:p>
      <w:pPr>
        <w:pStyle w:val="Style92"/>
        <w:numPr>
          <w:ilvl w:val="0"/>
          <w:numId w:val="4"/>
        </w:numPr>
        <w:spacing w:lineRule="auto" w:line="276"/>
        <w:ind w:left="0" w:firstLine="567"/>
        <w:rPr/>
      </w:pPr>
      <w:r>
        <w:rPr/>
        <w:t>Проект планировки в микрорайоне Микрорайон в восточной части Камышловского городского округа</w:t>
      </w:r>
    </w:p>
    <w:p>
      <w:pPr>
        <w:pStyle w:val="A1"/>
        <w:rPr/>
      </w:pPr>
      <w:r>
        <w:rPr/>
        <w:t xml:space="preserve">Согласно материалам проекта планировки территория проектирования занимает 22,6 га. территория проектирования занимает 22,6 га. Проектом предусмотрено 100% обеспечение проектируемой территории централизованной системой теплоснабжения. Источником теплоснабжения объектов логистического комплекса планируется пристроенная газовая котельная. От котельной по теплопроводам тепло доставляется потребителям. Система теплоснабжения предлагается двухтрубная. Уточнение диаметров труб выполняются на этапах рабочего проектирования. </w:t>
      </w:r>
    </w:p>
    <w:p>
      <w:pPr>
        <w:pStyle w:val="A1"/>
        <w:rPr/>
      </w:pPr>
      <w:r>
        <w:rPr/>
        <w:t xml:space="preserve">Теплопотребление жилой застройки и объектов административного и культурно-социального назначения составит – отопление 6,65 Гкал/час, ГВС 0,023 Гкал/час, вентиляция </w:t>
        <w:br/>
        <w:t>0,301 Гкал/час.</w:t>
      </w:r>
    </w:p>
    <w:p>
      <w:pPr>
        <w:pStyle w:val="A1"/>
        <w:rPr/>
      </w:pPr>
      <w:r>
        <w:rPr/>
        <w:t xml:space="preserve">Прогнозы приростов на каждом этапе площади строительных жилищных фондов по данным генерального плана Камышловского городского округа представлены в таблице </w:t>
      </w:r>
      <w:r>
        <w:rPr/>
        <w:fldChar w:fldCharType="begin"/>
      </w:r>
      <w:r>
        <w:rPr/>
        <w:instrText> REF _Ref50079206 \h </w:instrText>
      </w:r>
      <w:r>
        <w:rPr/>
        <w:fldChar w:fldCharType="separate"/>
      </w:r>
      <w:r>
        <w:rPr/>
        <w:t>Таблица 5</w:t>
      </w:r>
      <w:r>
        <w:rPr/>
        <w:fldChar w:fldCharType="end"/>
      </w:r>
      <w:r>
        <w:rPr/>
        <w:t>.</w:t>
      </w:r>
    </w:p>
    <w:p>
      <w:pPr>
        <w:pStyle w:val="A1"/>
        <w:rPr/>
      </w:pPr>
      <w:r>
        <w:rPr/>
        <w:t xml:space="preserve">Информация о потреблении тепловой энергии и теплоносителя объектами, расположенными в производственных зонах, отсутствует в связи с конфиденциальностью запрашиваемых данных. Генеральными планами населенных пунктов Камышловского городского округа не предполагается развитие систем централизованного теплоснабжения в производственных зонах. </w:t>
      </w:r>
    </w:p>
    <w:p>
      <w:pPr>
        <w:pStyle w:val="Style85"/>
        <w:rPr/>
      </w:pPr>
      <w:bookmarkStart w:id="72" w:name="_Ref50079206"/>
      <w:bookmarkStart w:id="73" w:name="_Ref532555567"/>
      <w:bookmarkStart w:id="74" w:name="_Ref437259848"/>
      <w:r>
        <w:rPr/>
        <w:t xml:space="preserve">Таблица </w:t>
      </w:r>
      <w:r>
        <w:rPr/>
        <w:fldChar w:fldCharType="begin"/>
      </w:r>
      <w:r>
        <w:rPr/>
        <w:instrText> SEQ Таблица \* ARABIC </w:instrText>
      </w:r>
      <w:r>
        <w:rPr/>
        <w:fldChar w:fldCharType="separate"/>
      </w:r>
      <w:r>
        <w:rPr/>
        <w:t>5</w:t>
      </w:r>
      <w:r>
        <w:rPr/>
        <w:fldChar w:fldCharType="end"/>
      </w:r>
      <w:bookmarkEnd w:id="72"/>
      <w:bookmarkEnd w:id="73"/>
      <w:bookmarkEnd w:id="74"/>
      <w:r>
        <w:rPr/>
        <w:t>. Прогнозы приростов строительных фондов</w:t>
      </w:r>
    </w:p>
    <w:tbl>
      <w:tblPr>
        <w:tblW w:w="10612" w:type="dxa"/>
        <w:jc w:val="left"/>
        <w:tblInd w:w="-294" w:type="dxa"/>
        <w:tblCellMar>
          <w:top w:w="0" w:type="dxa"/>
          <w:left w:w="108" w:type="dxa"/>
          <w:bottom w:w="0" w:type="dxa"/>
          <w:right w:w="108" w:type="dxa"/>
        </w:tblCellMar>
        <w:tblLook w:firstRow="1" w:noVBand="1" w:lastRow="0" w:firstColumn="1" w:lastColumn="0" w:noHBand="0" w:val="04a0"/>
      </w:tblPr>
      <w:tblGrid>
        <w:gridCol w:w="576"/>
        <w:gridCol w:w="2259"/>
        <w:gridCol w:w="939"/>
        <w:gridCol w:w="759"/>
        <w:gridCol w:w="1140"/>
        <w:gridCol w:w="1099"/>
        <w:gridCol w:w="960"/>
        <w:gridCol w:w="964"/>
        <w:gridCol w:w="960"/>
        <w:gridCol w:w="955"/>
      </w:tblGrid>
      <w:tr>
        <w:trPr>
          <w:trHeight w:val="330" w:hRule="atLeast"/>
        </w:trPr>
        <w:tc>
          <w:tcPr>
            <w:tcW w:w="576"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eastAsia="ru-RU"/>
              </w:rPr>
            </w:pPr>
            <w:r>
              <w:rPr>
                <w:b/>
                <w:lang w:eastAsia="ru-RU"/>
              </w:rPr>
              <w:t xml:space="preserve">№ </w:t>
            </w:r>
            <w:r>
              <w:rPr>
                <w:b/>
                <w:lang w:eastAsia="ru-RU"/>
              </w:rPr>
              <w:t>п/п</w:t>
            </w:r>
          </w:p>
        </w:tc>
        <w:tc>
          <w:tcPr>
            <w:tcW w:w="2259"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Наименование показателей</w:t>
            </w:r>
          </w:p>
        </w:tc>
        <w:tc>
          <w:tcPr>
            <w:tcW w:w="939"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Ед. изм.</w:t>
            </w:r>
          </w:p>
        </w:tc>
        <w:tc>
          <w:tcPr>
            <w:tcW w:w="6837" w:type="dxa"/>
            <w:gridSpan w:val="7"/>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Значения по периодам</w:t>
            </w:r>
          </w:p>
        </w:tc>
      </w:tr>
      <w:tr>
        <w:trPr>
          <w:trHeight w:val="330" w:hRule="atLeast"/>
        </w:trPr>
        <w:tc>
          <w:tcPr>
            <w:tcW w:w="576"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eastAsia="ru-RU"/>
              </w:rPr>
            </w:pPr>
            <w:r>
              <w:rPr>
                <w:b/>
                <w:lang w:eastAsia="ru-RU"/>
              </w:rPr>
            </w:r>
          </w:p>
        </w:tc>
        <w:tc>
          <w:tcPr>
            <w:tcW w:w="225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r>
          </w:p>
        </w:tc>
        <w:tc>
          <w:tcPr>
            <w:tcW w:w="93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2019</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2020</w:t>
            </w:r>
          </w:p>
          <w:p>
            <w:pPr>
              <w:pStyle w:val="Style120"/>
              <w:rPr>
                <w:b/>
                <w:b/>
                <w:lang w:val="ru-RU" w:eastAsia="ru-RU"/>
              </w:rPr>
            </w:pPr>
            <w:r>
              <w:rPr>
                <w:b/>
                <w:lang w:val="ru-RU" w:eastAsia="ru-RU"/>
              </w:rPr>
              <w:t>(факт)</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2021</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2022</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2023</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2031</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b/>
                <w:b/>
                <w:lang w:val="ru-RU" w:eastAsia="ru-RU"/>
              </w:rPr>
            </w:pPr>
            <w:r>
              <w:rPr>
                <w:b/>
                <w:lang w:val="ru-RU" w:eastAsia="ru-RU"/>
              </w:rPr>
              <w:t>2036</w:t>
            </w:r>
          </w:p>
        </w:tc>
      </w:tr>
      <w:tr>
        <w:trPr>
          <w:trHeight w:val="330" w:hRule="atLeast"/>
        </w:trPr>
        <w:tc>
          <w:tcPr>
            <w:tcW w:w="10611" w:type="dxa"/>
            <w:gridSpan w:val="10"/>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Камышловский городской округ</w:t>
            </w:r>
          </w:p>
        </w:tc>
      </w:tr>
      <w:tr>
        <w:trPr>
          <w:trHeight w:val="390" w:hRule="atLeast"/>
        </w:trPr>
        <w:tc>
          <w:tcPr>
            <w:tcW w:w="57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eastAsia="ru-RU"/>
              </w:rPr>
            </w:pPr>
            <w:r>
              <w:rPr>
                <w:lang w:eastAsia="ru-RU"/>
              </w:rPr>
              <w:t>1</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Общая площадь жилого фонда, в т.ч.:</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тыс. м</w:t>
            </w:r>
            <w:r>
              <w:rPr>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651,9</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662,3</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670,3</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677,5</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684,2</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718,5</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750,3</w:t>
            </w:r>
          </w:p>
        </w:tc>
      </w:tr>
      <w:tr>
        <w:trPr>
          <w:trHeight w:val="390" w:hRule="atLeast"/>
        </w:trPr>
        <w:tc>
          <w:tcPr>
            <w:tcW w:w="57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eastAsia="ru-RU"/>
              </w:rPr>
            </w:pPr>
            <w:r>
              <w:rPr>
                <w:lang w:eastAsia="ru-RU"/>
              </w:rPr>
              <w:t>1.1.</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Многоэтажного жилого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тыс. м</w:t>
            </w:r>
            <w:r>
              <w:rPr>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487,3</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494,5</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494,5</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494,5</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494,5</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525,0</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550,0</w:t>
            </w:r>
          </w:p>
        </w:tc>
      </w:tr>
      <w:tr>
        <w:trPr>
          <w:trHeight w:val="390" w:hRule="atLeast"/>
        </w:trPr>
        <w:tc>
          <w:tcPr>
            <w:tcW w:w="57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eastAsia="ru-RU"/>
              </w:rPr>
            </w:pPr>
            <w:r>
              <w:rPr>
                <w:lang w:eastAsia="ru-RU"/>
              </w:rPr>
              <w:t>1.2.</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Индивидуальные жилые дома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тыс. м</w:t>
            </w:r>
            <w:r>
              <w:rPr>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157,4</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160,6</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173,9</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181,6</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190,5</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193,5</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200,3</w:t>
            </w:r>
          </w:p>
        </w:tc>
      </w:tr>
      <w:tr>
        <w:trPr>
          <w:trHeight w:val="390" w:hRule="atLeast"/>
        </w:trPr>
        <w:tc>
          <w:tcPr>
            <w:tcW w:w="57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eastAsia="ru-RU"/>
              </w:rPr>
            </w:pPr>
            <w:r>
              <w:rPr>
                <w:lang w:eastAsia="ru-RU"/>
              </w:rPr>
              <w:t>2</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Строительство жилого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тыс. м</w:t>
            </w:r>
            <w:r>
              <w:rPr>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9,82</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12,2</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9,0</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9,4</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7,2</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7,1</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eastAsia="ru-RU"/>
              </w:rPr>
              <w:t>7,0</w:t>
            </w:r>
          </w:p>
        </w:tc>
      </w:tr>
      <w:tr>
        <w:trPr>
          <w:trHeight w:val="645" w:hRule="atLeast"/>
        </w:trPr>
        <w:tc>
          <w:tcPr>
            <w:tcW w:w="57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eastAsia="ru-RU"/>
              </w:rPr>
            </w:pPr>
            <w:r>
              <w:rPr>
                <w:lang w:eastAsia="ru-RU"/>
              </w:rPr>
              <w:t>3</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pPr>
            <w:r>
              <w:rPr>
                <w:lang w:val="ru-RU" w:eastAsia="ru-RU"/>
              </w:rPr>
              <w:t>Объём ликвидируемого жилищного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20"/>
              <w:rPr>
                <w:lang w:val="ru-RU" w:eastAsia="ru-RU"/>
              </w:rPr>
            </w:pPr>
            <w:r>
              <w:rPr>
                <w:lang w:val="ru-RU" w:eastAsia="ru-RU"/>
              </w:rPr>
              <w:t>тыс. м</w:t>
            </w:r>
            <w:r>
              <w:rPr>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2,8</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4,0</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7,1</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8,0</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8,0</w:t>
            </w:r>
          </w:p>
        </w:tc>
        <w:tc>
          <w:tcPr>
            <w:tcW w:w="96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6,5</w:t>
            </w:r>
          </w:p>
        </w:tc>
        <w:tc>
          <w:tcPr>
            <w:tcW w:w="955"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0"/>
              <w:rPr>
                <w:lang w:val="ru-RU" w:eastAsia="ru-RU"/>
              </w:rPr>
            </w:pPr>
            <w:r>
              <w:rPr>
                <w:lang w:val="ru-RU"/>
              </w:rPr>
              <w:t>6,5</w:t>
            </w:r>
          </w:p>
        </w:tc>
      </w:tr>
    </w:tbl>
    <w:p>
      <w:pPr>
        <w:pStyle w:val="A1"/>
        <w:rPr/>
      </w:pPr>
      <w:r>
        <w:rPr/>
      </w:r>
    </w:p>
    <w:p>
      <w:pPr>
        <w:pStyle w:val="A1"/>
        <w:rPr/>
      </w:pPr>
      <w:r>
        <w:rPr/>
        <w:t>Перспективный прирост тепловой энергии по проектам планировки и межевания представлен таблице.</w:t>
      </w:r>
    </w:p>
    <w:p>
      <w:pPr>
        <w:pStyle w:val="A1"/>
        <w:rPr/>
      </w:pPr>
      <w:r>
        <w:rPr/>
        <w:fldChar w:fldCharType="begin"/>
      </w:r>
      <w:r>
        <w:rPr/>
        <w:instrText> REF _Ref50089242 \h </w:instrText>
      </w:r>
      <w:r>
        <w:rPr/>
        <w:fldChar w:fldCharType="separate"/>
      </w:r>
      <w:r>
        <w:rPr/>
        <w:t>Таблица 6</w:t>
      </w:r>
      <w:r>
        <w:rPr/>
        <w:fldChar w:fldCharType="end"/>
      </w:r>
      <w:r>
        <w:rPr/>
        <w:t>.</w:t>
      </w:r>
      <w:bookmarkStart w:id="75" w:name="_Ref50089242"/>
      <w:r>
        <w:rPr/>
        <w:t xml:space="preserve">Таблица </w:t>
      </w:r>
      <w:r>
        <w:rPr/>
        <w:fldChar w:fldCharType="begin"/>
      </w:r>
      <w:r>
        <w:rPr/>
        <w:instrText> SEQ Таблица \* ARABIC </w:instrText>
      </w:r>
      <w:r>
        <w:rPr/>
        <w:fldChar w:fldCharType="separate"/>
      </w:r>
      <w:r>
        <w:rPr/>
        <w:t>6</w:t>
      </w:r>
      <w:r>
        <w:rPr/>
        <w:fldChar w:fldCharType="end"/>
      </w:r>
      <w:bookmarkEnd w:id="75"/>
      <w:r>
        <w:rPr/>
        <w:t>. Перспективный прирост тепловой энергии по проектам планировки и межевания</w:t>
      </w:r>
    </w:p>
    <w:tbl>
      <w:tblPr>
        <w:tblW w:w="5000" w:type="pct"/>
        <w:jc w:val="left"/>
        <w:tblInd w:w="0" w:type="dxa"/>
        <w:tblCellMar>
          <w:top w:w="0" w:type="dxa"/>
          <w:left w:w="28" w:type="dxa"/>
          <w:bottom w:w="0" w:type="dxa"/>
          <w:right w:w="28" w:type="dxa"/>
        </w:tblCellMar>
        <w:tblLook w:firstRow="1" w:noVBand="1" w:lastRow="0" w:firstColumn="1" w:lastColumn="0" w:noHBand="0" w:val="04a0"/>
      </w:tblPr>
      <w:tblGrid>
        <w:gridCol w:w="472"/>
        <w:gridCol w:w="5328"/>
        <w:gridCol w:w="833"/>
        <w:gridCol w:w="1049"/>
        <w:gridCol w:w="1281"/>
        <w:gridCol w:w="1241"/>
      </w:tblGrid>
      <w:tr>
        <w:trPr>
          <w:trHeight w:val="20" w:hRule="atLeast"/>
        </w:trPr>
        <w:tc>
          <w:tcPr>
            <w:tcW w:w="4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 xml:space="preserve">№ </w:t>
            </w:r>
            <w:r>
              <w:rPr>
                <w:sz w:val="20"/>
                <w:szCs w:val="20"/>
              </w:rPr>
              <w:t>п/п</w:t>
            </w:r>
          </w:p>
        </w:tc>
        <w:tc>
          <w:tcPr>
            <w:tcW w:w="53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Местоположение</w:t>
            </w:r>
          </w:p>
        </w:tc>
        <w:tc>
          <w:tcPr>
            <w:tcW w:w="8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Ед.изм.</w:t>
            </w:r>
          </w:p>
        </w:tc>
        <w:tc>
          <w:tcPr>
            <w:tcW w:w="10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Прирост I-II очереди</w:t>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Прирост Расчетный срок</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ИТОГО прирост:</w:t>
            </w:r>
          </w:p>
        </w:tc>
      </w:tr>
      <w:tr>
        <w:trPr>
          <w:trHeight w:val="20" w:hRule="atLeast"/>
        </w:trPr>
        <w:tc>
          <w:tcPr>
            <w:tcW w:w="4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w:t>
            </w:r>
          </w:p>
        </w:tc>
        <w:tc>
          <w:tcPr>
            <w:tcW w:w="53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Микрорайон в северо-восточной части Камышловского городского округа, расположенного в границах улицы Карловарской - железной дороги – границы Камышловского городского округа</w:t>
            </w:r>
          </w:p>
        </w:tc>
        <w:tc>
          <w:tcPr>
            <w:tcW w:w="8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4,45</w:t>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5,85</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10,3</w:t>
            </w:r>
            <w:bookmarkStart w:id="76" w:name="_Hlk49854949"/>
            <w:bookmarkEnd w:id="76"/>
          </w:p>
        </w:tc>
      </w:tr>
      <w:tr>
        <w:trPr>
          <w:trHeight w:val="20" w:hRule="atLeast"/>
        </w:trPr>
        <w:tc>
          <w:tcPr>
            <w:tcW w:w="47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w:t>
            </w:r>
          </w:p>
        </w:tc>
        <w:tc>
          <w:tcPr>
            <w:tcW w:w="53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bookmarkStart w:id="77" w:name="_Hlk49856226"/>
            <w:r>
              <w:rPr>
                <w:sz w:val="20"/>
                <w:szCs w:val="20"/>
              </w:rPr>
              <w:t>Микрорайон в западной части Камышловского городского округа, расположенный в границах ул. Полевой – ул. Вайнера – ул.Садовая – ул.Агрономической – ул. Кооперативной - железной дороги</w:t>
            </w:r>
            <w:bookmarkEnd w:id="77"/>
          </w:p>
        </w:tc>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Отопление - 0,846</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Отопление - 0,846</w:t>
            </w:r>
          </w:p>
        </w:tc>
      </w:tr>
      <w:tr>
        <w:trPr>
          <w:trHeight w:val="517"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ГВС - 0,209</w:t>
            </w:r>
          </w:p>
        </w:tc>
        <w:tc>
          <w:tcPr>
            <w:tcW w:w="124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ГВС - 0,209</w:t>
            </w:r>
          </w:p>
        </w:tc>
      </w:tr>
      <w:tr>
        <w:trPr>
          <w:trHeight w:val="517"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4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r>
      <w:tr>
        <w:trPr>
          <w:trHeight w:val="517" w:hRule="atLeast"/>
        </w:trPr>
        <w:tc>
          <w:tcPr>
            <w:tcW w:w="47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w:t>
            </w:r>
          </w:p>
        </w:tc>
        <w:tc>
          <w:tcPr>
            <w:tcW w:w="53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Микрорайон в центральной части Камышловского городского округа, расположенного в границах улиц: Кр.Орлов, Вокзальная, Ленинградская, Энгельса, Ленина</w:t>
            </w:r>
          </w:p>
        </w:tc>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10,19</w:t>
            </w:r>
          </w:p>
        </w:tc>
        <w:tc>
          <w:tcPr>
            <w:tcW w:w="124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10,19</w:t>
            </w:r>
            <w:bookmarkStart w:id="78" w:name="_Hlk49856809"/>
            <w:bookmarkEnd w:id="78"/>
          </w:p>
        </w:tc>
      </w:tr>
      <w:tr>
        <w:trPr>
          <w:trHeight w:val="517"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4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r>
      <w:tr>
        <w:trPr>
          <w:trHeight w:val="517"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4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r>
      <w:tr>
        <w:trPr>
          <w:trHeight w:val="20" w:hRule="atLeast"/>
        </w:trPr>
        <w:tc>
          <w:tcPr>
            <w:tcW w:w="47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w:t>
            </w:r>
          </w:p>
        </w:tc>
        <w:tc>
          <w:tcPr>
            <w:tcW w:w="53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bookmarkStart w:id="79" w:name="_Hlk49857718"/>
            <w:r>
              <w:rPr>
                <w:sz w:val="20"/>
                <w:szCs w:val="20"/>
              </w:rPr>
              <w:t>Микрорайон в северной части Камышловского городского округа</w:t>
            </w:r>
            <w:bookmarkEnd w:id="79"/>
          </w:p>
        </w:tc>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Отопление - 0,83</w:t>
            </w:r>
          </w:p>
        </w:tc>
        <w:tc>
          <w:tcPr>
            <w:tcW w:w="124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Отопление - 0,83</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ГВС - 0,14</w:t>
            </w:r>
          </w:p>
        </w:tc>
        <w:tc>
          <w:tcPr>
            <w:tcW w:w="124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ГВС - 0,14</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Вентиляция - 0,1 </w:t>
            </w:r>
          </w:p>
        </w:tc>
        <w:tc>
          <w:tcPr>
            <w:tcW w:w="124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Вентиляция - 0,1 </w:t>
            </w:r>
          </w:p>
        </w:tc>
      </w:tr>
      <w:tr>
        <w:trPr>
          <w:trHeight w:val="20" w:hRule="atLeast"/>
        </w:trPr>
        <w:tc>
          <w:tcPr>
            <w:tcW w:w="47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w:t>
            </w:r>
          </w:p>
        </w:tc>
        <w:tc>
          <w:tcPr>
            <w:tcW w:w="53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bookmarkStart w:id="80" w:name="_Hlk49858240"/>
            <w:r>
              <w:rPr>
                <w:sz w:val="20"/>
                <w:szCs w:val="20"/>
              </w:rPr>
              <w:t>Микрорайон в центральной части Камышловского городского округа, ограниченный улицами Урицкого, К.Маркса, Маяковского, Свердлова</w:t>
            </w:r>
            <w:bookmarkEnd w:id="80"/>
          </w:p>
        </w:tc>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Отопление - 0,36</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Отопление - 0,36</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ГВС - 0,054</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ГВС - 0,054</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Вентиляция - 0,052</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Вентиляция - 0,052</w:t>
            </w:r>
          </w:p>
        </w:tc>
      </w:tr>
      <w:tr>
        <w:trPr>
          <w:trHeight w:val="20" w:hRule="atLeast"/>
        </w:trPr>
        <w:tc>
          <w:tcPr>
            <w:tcW w:w="47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6</w:t>
            </w:r>
          </w:p>
        </w:tc>
        <w:tc>
          <w:tcPr>
            <w:tcW w:w="53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bookmarkStart w:id="81" w:name="_Hlk49859124"/>
            <w:r>
              <w:rPr>
                <w:sz w:val="20"/>
                <w:szCs w:val="20"/>
              </w:rPr>
              <w:t>Микрорайон в западной части Камышловского городского округа, ограниченной улицами Энгельса, Садовая, Закамышловская, Кутузова</w:t>
            </w:r>
            <w:bookmarkEnd w:id="81"/>
          </w:p>
        </w:tc>
        <w:tc>
          <w:tcPr>
            <w:tcW w:w="83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Отопление - 0,36</w:t>
            </w:r>
          </w:p>
        </w:tc>
        <w:tc>
          <w:tcPr>
            <w:tcW w:w="124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Отопление - 0,36</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Вентиляция - 0,054</w:t>
            </w:r>
          </w:p>
        </w:tc>
        <w:tc>
          <w:tcPr>
            <w:tcW w:w="1241" w:type="dxa"/>
            <w:tcBorders>
              <w:top w:val="single" w:sz="4" w:space="0" w:color="000000"/>
              <w:left w:val="single" w:sz="8" w:space="0" w:color="000000"/>
              <w:bottom w:val="single" w:sz="4" w:space="0" w:color="000000"/>
              <w:right w:val="single" w:sz="8" w:space="0" w:color="000000"/>
            </w:tcBorders>
            <w:shd w:fill="auto" w:val="clear"/>
            <w:vAlign w:val="center"/>
          </w:tcPr>
          <w:p>
            <w:pPr>
              <w:pStyle w:val="Style123"/>
              <w:rPr>
                <w:sz w:val="20"/>
                <w:szCs w:val="20"/>
              </w:rPr>
            </w:pPr>
            <w:r>
              <w:rPr>
                <w:sz w:val="20"/>
                <w:szCs w:val="20"/>
              </w:rPr>
              <w:t>Вентиляция - 0,054</w:t>
            </w:r>
          </w:p>
        </w:tc>
      </w:tr>
      <w:tr>
        <w:trPr>
          <w:trHeight w:val="20" w:hRule="atLeast"/>
        </w:trPr>
        <w:tc>
          <w:tcPr>
            <w:tcW w:w="47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53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3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04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281"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3"/>
              <w:rPr>
                <w:sz w:val="20"/>
                <w:szCs w:val="20"/>
              </w:rPr>
            </w:pPr>
            <w:r>
              <w:rPr>
                <w:sz w:val="20"/>
                <w:szCs w:val="20"/>
              </w:rPr>
              <w:t>ГВС - 0,052</w:t>
            </w:r>
          </w:p>
        </w:tc>
        <w:tc>
          <w:tcPr>
            <w:tcW w:w="1241"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23"/>
              <w:rPr>
                <w:sz w:val="20"/>
                <w:szCs w:val="20"/>
              </w:rPr>
            </w:pPr>
            <w:r>
              <w:rPr>
                <w:sz w:val="20"/>
                <w:szCs w:val="20"/>
              </w:rPr>
              <w:t>ГВС - 0,052</w:t>
            </w:r>
          </w:p>
        </w:tc>
      </w:tr>
      <w:tr>
        <w:trPr>
          <w:trHeight w:val="20" w:hRule="atLeast"/>
        </w:trPr>
        <w:tc>
          <w:tcPr>
            <w:tcW w:w="4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7</w:t>
            </w:r>
          </w:p>
        </w:tc>
        <w:tc>
          <w:tcPr>
            <w:tcW w:w="53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Микрорайон в восточной части Камышловского городского округа</w:t>
            </w:r>
          </w:p>
        </w:tc>
        <w:tc>
          <w:tcPr>
            <w:tcW w:w="8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Гкал/ч</w:t>
            </w:r>
          </w:p>
        </w:tc>
        <w:tc>
          <w:tcPr>
            <w:tcW w:w="10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w:t>
            </w:r>
          </w:p>
        </w:tc>
        <w:tc>
          <w:tcPr>
            <w:tcW w:w="128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6,97</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6,97</w:t>
            </w:r>
            <w:bookmarkStart w:id="82" w:name="_Hlk49859529"/>
            <w:bookmarkEnd w:id="82"/>
          </w:p>
        </w:tc>
      </w:tr>
    </w:tbl>
    <w:p>
      <w:pPr>
        <w:pStyle w:val="A1"/>
        <w:rPr/>
      </w:pPr>
      <w:r>
        <w:rPr/>
      </w:r>
    </w:p>
    <w:p>
      <w:pPr>
        <w:pStyle w:val="A1"/>
        <w:rPr/>
      </w:pPr>
      <w:r>
        <w:rPr/>
        <w:t xml:space="preserve">Прогнозы приростов объемов потребления тепловой энергии теплоносителя с разделением по видам теплопотребления в расчетных элементах территориального деления представлены в единственном территориальном делении – г. Камышлов. Прирост объемов тепловой энергии представлен в таблице </w:t>
      </w:r>
      <w:r>
        <w:rPr/>
        <w:fldChar w:fldCharType="begin"/>
      </w:r>
      <w:r>
        <w:rPr/>
        <w:instrText> REF _Ref39588217 \h </w:instrText>
      </w:r>
      <w:r>
        <w:rPr/>
        <w:fldChar w:fldCharType="separate"/>
      </w:r>
      <w:r>
        <w:rPr/>
        <w:t>Таблица 7</w:t>
      </w:r>
      <w:r>
        <w:rPr/>
        <w:fldChar w:fldCharType="end"/>
      </w:r>
      <w:r>
        <w:rPr/>
        <w:t>.</w:t>
      </w:r>
    </w:p>
    <w:p>
      <w:pPr>
        <w:sectPr>
          <w:type w:val="continuous"/>
          <w:pgSz w:w="11906" w:h="16838"/>
          <w:pgMar w:left="1134" w:right="567" w:header="1134" w:top="1693" w:footer="0" w:bottom="1134" w:gutter="0"/>
          <w:formProt w:val="false"/>
          <w:textDirection w:val="lrTb"/>
          <w:docGrid w:type="default" w:linePitch="360" w:charSpace="0"/>
        </w:sectPr>
      </w:pPr>
    </w:p>
    <w:p>
      <w:pPr>
        <w:pStyle w:val="Style85"/>
        <w:rPr/>
      </w:pPr>
      <w:bookmarkStart w:id="83" w:name="_Ref39588217"/>
      <w:r>
        <w:rPr/>
        <w:t xml:space="preserve">Таблица </w:t>
      </w:r>
      <w:r>
        <w:rPr/>
        <w:fldChar w:fldCharType="begin"/>
      </w:r>
      <w:r>
        <w:rPr/>
        <w:instrText> SEQ Таблица \* ARABIC </w:instrText>
      </w:r>
      <w:r>
        <w:rPr/>
        <w:fldChar w:fldCharType="separate"/>
      </w:r>
      <w:r>
        <w:rPr/>
        <w:t>7</w:t>
      </w:r>
      <w:r>
        <w:rPr/>
        <w:fldChar w:fldCharType="end"/>
      </w:r>
      <w:bookmarkEnd w:id="83"/>
      <w:r>
        <w:rPr/>
        <w:t>. Прогнозы приростов объемов потребления тепловой энергии и теплоносителя</w:t>
      </w:r>
    </w:p>
    <w:tbl>
      <w:tblPr>
        <w:tblW w:w="15794" w:type="dxa"/>
        <w:jc w:val="left"/>
        <w:tblInd w:w="-572" w:type="dxa"/>
        <w:tblCellMar>
          <w:top w:w="0" w:type="dxa"/>
          <w:left w:w="28" w:type="dxa"/>
          <w:bottom w:w="0" w:type="dxa"/>
          <w:right w:w="28" w:type="dxa"/>
        </w:tblCellMar>
        <w:tblLook w:firstRow="1" w:noVBand="1" w:lastRow="0" w:firstColumn="1" w:lastColumn="0" w:noHBand="0" w:val="04a0"/>
      </w:tblPr>
      <w:tblGrid>
        <w:gridCol w:w="388"/>
        <w:gridCol w:w="1712"/>
        <w:gridCol w:w="1234"/>
        <w:gridCol w:w="1"/>
        <w:gridCol w:w="845"/>
        <w:gridCol w:w="888"/>
        <w:gridCol w:w="1"/>
        <w:gridCol w:w="2"/>
        <w:gridCol w:w="845"/>
        <w:gridCol w:w="919"/>
        <w:gridCol w:w="3"/>
        <w:gridCol w:w="2"/>
        <w:gridCol w:w="845"/>
        <w:gridCol w:w="982"/>
        <w:gridCol w:w="2"/>
        <w:gridCol w:w="3"/>
        <w:gridCol w:w="845"/>
        <w:gridCol w:w="886"/>
        <w:gridCol w:w="3"/>
        <w:gridCol w:w="2"/>
        <w:gridCol w:w="845"/>
        <w:gridCol w:w="973"/>
        <w:gridCol w:w="1"/>
        <w:gridCol w:w="5"/>
        <w:gridCol w:w="845"/>
        <w:gridCol w:w="981"/>
        <w:gridCol w:w="1"/>
        <w:gridCol w:w="7"/>
        <w:gridCol w:w="845"/>
        <w:gridCol w:w="883"/>
      </w:tblGrid>
      <w:tr>
        <w:trPr>
          <w:tblHeader w:val="true"/>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 </w:t>
            </w:r>
            <w:r>
              <w:rPr>
                <w:sz w:val="20"/>
                <w:szCs w:val="20"/>
              </w:rPr>
              <w:t>п/п</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Объекты</w:t>
            </w:r>
          </w:p>
        </w:tc>
        <w:tc>
          <w:tcPr>
            <w:tcW w:w="1235"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Категория потребления</w:t>
            </w:r>
          </w:p>
        </w:tc>
        <w:tc>
          <w:tcPr>
            <w:tcW w:w="12459" w:type="dxa"/>
            <w:gridSpan w:val="26"/>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Изменение тепловой нагрузки, Гкал/ч. увеличение (+), уменьшение (-)</w:t>
            </w:r>
          </w:p>
        </w:tc>
      </w:tr>
      <w:tr>
        <w:trPr>
          <w:tblHeader w:val="true"/>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1235"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173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2020</w:t>
            </w:r>
          </w:p>
        </w:tc>
        <w:tc>
          <w:tcPr>
            <w:tcW w:w="1769"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2021</w:t>
            </w:r>
          </w:p>
        </w:tc>
        <w:tc>
          <w:tcPr>
            <w:tcW w:w="183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2022</w:t>
            </w:r>
          </w:p>
        </w:tc>
        <w:tc>
          <w:tcPr>
            <w:tcW w:w="173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2023</w:t>
            </w:r>
          </w:p>
        </w:tc>
        <w:tc>
          <w:tcPr>
            <w:tcW w:w="182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2024</w:t>
            </w:r>
          </w:p>
        </w:tc>
        <w:tc>
          <w:tcPr>
            <w:tcW w:w="1832"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2025-2030</w:t>
            </w:r>
          </w:p>
        </w:tc>
        <w:tc>
          <w:tcPr>
            <w:tcW w:w="173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2031-2036</w:t>
            </w:r>
          </w:p>
        </w:tc>
      </w:tr>
      <w:tr>
        <w:trPr>
          <w:tblHeader w:val="true"/>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1235"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Тепловая энергия</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Тепло-носитель</w:t>
            </w:r>
          </w:p>
        </w:tc>
      </w:tr>
      <w:tr>
        <w:trPr>
          <w:tblHeader w:val="true"/>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Гкал/ч</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м3/ч/Гкал</w:t>
            </w:r>
          </w:p>
        </w:tc>
      </w:tr>
      <w:tr>
        <w:trPr>
          <w:trHeight w:val="20" w:hRule="atLeast"/>
        </w:trPr>
        <w:tc>
          <w:tcPr>
            <w:tcW w:w="333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Снос ветхо-аварийного жилья</w:t>
            </w:r>
          </w:p>
        </w:tc>
        <w:tc>
          <w:tcPr>
            <w:tcW w:w="173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w:t>
            </w:r>
          </w:p>
        </w:tc>
        <w:tc>
          <w:tcPr>
            <w:tcW w:w="176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w:t>
            </w:r>
          </w:p>
        </w:tc>
        <w:tc>
          <w:tcPr>
            <w:tcW w:w="1832"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w:t>
            </w:r>
          </w:p>
        </w:tc>
        <w:tc>
          <w:tcPr>
            <w:tcW w:w="1736"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w:t>
            </w:r>
          </w:p>
        </w:tc>
        <w:tc>
          <w:tcPr>
            <w:tcW w:w="1823"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w:t>
            </w:r>
          </w:p>
        </w:tc>
        <w:tc>
          <w:tcPr>
            <w:tcW w:w="1832"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-3,1</w:t>
            </w:r>
          </w:p>
        </w:tc>
        <w:tc>
          <w:tcPr>
            <w:tcW w:w="1736"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-3,1</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w:t>
              <w:br/>
              <w:t>«Пролетарская»</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0,371</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18,572</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-0,129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-6,428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-0,129</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-6,428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-12,406</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-620,278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0,371</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18,572</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-0,129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-6,428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-0,129</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-6,428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-10,161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-508,028</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-1,914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-95,700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-0,331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-16,550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«Железнодорожная»</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0,282</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14,117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-0,068</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-0,068</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-2,408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-120,383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0,052</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2,617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-0,068</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-0,068</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-2,408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-120,383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9"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0,230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11,500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«К.Либкнехта 28»</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«Стадион» / БМК «Стадион»</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2,131</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106,549</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-0,951</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-0,019</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-0,951</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1,619</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80,949</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1,270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63,500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2,131</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106,549</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-0,951</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-0,019</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-0,951</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0,748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37,399</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1,270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63,500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0,767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38,350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5,200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«ЗСМ»</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-0,103</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-5,137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0,327</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16,363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-0,103</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-5,137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-9,837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-491,837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-0,103</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-5,137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0,327</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16,363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-0,103</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-5,137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-8,230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-411,487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-0,368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-18,400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-1,239</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-61,950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w:t>
              <w:br/>
              <w:t>«Р. Люксембург»</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0,302</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0,470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23,500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0,302</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0,470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23,500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78"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7</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«Константиновка»</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4,462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223,100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4,462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223,100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59"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«КГТТ»</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0,560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28,000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0,280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8"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0,280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«ПЛ-16»</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-16,050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-0,057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-2,850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-0,264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-13,200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w:t>
              <w:br/>
              <w:t>«Школа №1»</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-0,801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-40,050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-0,281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-14,050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-0,418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-20,900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1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11</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«ОВД»</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-0,279</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-13,950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-0,044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-2,200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-0,235</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-11,750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w:t>
              <w:br/>
              <w:t>«Школа №7»</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w:t>
              <w:br/>
              <w:t>«Школа №58»</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-0,357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-17,850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-0,071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-3,550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-0,251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-12,550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-0,035</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-1,750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«Орбита»</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-0,188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-9,400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-0,072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-3,600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-0,114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-5,700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4"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«Инженерный центр»</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0,330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-2,447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-122,350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0,130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-1,301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-65,050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1"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-0,823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-41,150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1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-16,150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«Плодопитомник»</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17</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«Сельэнерго»</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-0,162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18</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«Агроспецмонтаж»</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3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19</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«ПДУ»</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-0,314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-15,700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-0,302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4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-0,600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20</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«Пригородный» / БМК «Пригородный»</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5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1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21</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«КЭЧ»</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-0,273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-13,650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-0,273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-13,650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22</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«Виток» / БМК «Виток» </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23</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«Гор.баня»</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-0,788</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-39,400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-0,706</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-35,300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49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-0,082</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24</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БМК УИЗ</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1,070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53,500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1,070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53,500</w:t>
            </w:r>
          </w:p>
        </w:tc>
      </w:tr>
      <w:tr>
        <w:trPr>
          <w:trHeight w:val="50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25</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ЛТЦ / БМК ЛТЦ</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0,330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0,314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15,700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0,302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15,100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5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0,330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16,500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1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0,012</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0,600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26</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Котельная ЖКС № 1/1 (наименование в/ч -филиал № 2 ФГКУ "354 ВКГ)</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0,319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-0,766</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-51,067</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-0,416</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-27,733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-0,350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-23,333</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43"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27</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Котельная ЖКС № 1/1 (наименование </w:t>
              <w:br/>
              <w:t>в/ч 75485)</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0,649</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01"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0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28</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ОАО «РЖД»</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0,922</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3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8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29</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Новая БМК </w:t>
              <w:br/>
              <w:t>Горького 15</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3,308</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4,787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191,480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0,280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5,600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3,641</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145,640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0,140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5,600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4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0,823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32,920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95"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0,323</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12,920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0,140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30</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Новая БМК Загородная</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2,822</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9,734</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389,360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8,127</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325,080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511"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0,368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14,720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617"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1,239</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49,560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31</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Новая БМК Боровая</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1,074</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13,300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532,000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5,800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232,000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3,200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128,000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4,300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172,000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32</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Новая БМК </w:t>
              <w:br/>
              <w:t>Западная часть</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1,358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54,320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1,150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46,000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0,008</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0,320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0,200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8,000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33</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Новая котельная Свердлова 49</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0,350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0,350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14,000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r>
      <w:tr>
        <w:trPr>
          <w:trHeight w:val="20" w:hRule="atLeast"/>
        </w:trPr>
        <w:tc>
          <w:tcPr>
            <w:tcW w:w="3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34</w:t>
            </w:r>
          </w:p>
        </w:tc>
        <w:tc>
          <w:tcPr>
            <w:tcW w:w="17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 xml:space="preserve">Новая БМК </w:t>
              <w:br/>
              <w:t>Восточная часть</w:t>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Всего</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6,750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270,000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Население</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2,400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96,000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Бюджетные организации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1,600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64,000</w:t>
            </w:r>
          </w:p>
        </w:tc>
      </w:tr>
      <w:tr>
        <w:trPr>
          <w:trHeight w:val="20" w:hRule="atLeast"/>
        </w:trPr>
        <w:tc>
          <w:tcPr>
            <w:tcW w:w="3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71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20"/>
                <w:szCs w:val="20"/>
              </w:rPr>
            </w:pPr>
            <w:r>
              <w:rPr>
                <w:sz w:val="20"/>
                <w:szCs w:val="20"/>
              </w:rPr>
            </w:r>
          </w:p>
        </w:tc>
        <w:tc>
          <w:tcPr>
            <w:tcW w:w="123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Прочие потребители</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2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7"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7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9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0,000</w:t>
            </w:r>
          </w:p>
        </w:tc>
        <w:tc>
          <w:tcPr>
            <w:tcW w:w="8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2,750</w:t>
            </w:r>
          </w:p>
        </w:tc>
        <w:tc>
          <w:tcPr>
            <w:tcW w:w="8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sz w:val="20"/>
                <w:szCs w:val="20"/>
              </w:rPr>
            </w:pPr>
            <w:r>
              <w:rPr>
                <w:sz w:val="20"/>
                <w:szCs w:val="20"/>
              </w:rPr>
              <w:t>110,000</w:t>
            </w:r>
          </w:p>
        </w:tc>
      </w:tr>
    </w:tbl>
    <w:p>
      <w:pPr>
        <w:sectPr>
          <w:headerReference w:type="default" r:id="rId7"/>
          <w:footerReference w:type="default" r:id="rId8"/>
          <w:type w:val="nextPage"/>
          <w:pgSz w:orient="landscape" w:w="16838" w:h="11906"/>
          <w:pgMar w:left="1134" w:right="1134" w:header="567" w:top="1126" w:footer="0" w:bottom="1134" w:gutter="0"/>
          <w:pgNumType w:fmt="decimal"/>
          <w:formProt w:val="false"/>
          <w:textDirection w:val="lrTb"/>
          <w:docGrid w:type="default" w:linePitch="360" w:charSpace="0"/>
        </w:sectPr>
      </w:pPr>
    </w:p>
    <w:p>
      <w:pPr>
        <w:pStyle w:val="148"/>
        <w:rPr/>
      </w:pPr>
      <w:bookmarkStart w:id="84" w:name="_Toc50093551"/>
      <w:r>
        <w:rPr/>
        <w:t>Раздел 2. Существующие и перспективные балансы тепловой мощности источников тепловой энергии и тепловой нагрузки потребителей</w:t>
      </w:r>
      <w:bookmarkEnd w:id="84"/>
    </w:p>
    <w:p>
      <w:pPr>
        <w:pStyle w:val="A1"/>
        <w:rPr/>
      </w:pPr>
      <w:r>
        <w:rPr/>
        <w:t>В ходе актуализации схемы теплоснабжения были определены следующие расчетные элементы территориального деления Камышловского городского округа в соответствии с административными границами населенного пункта г. Камышлов, в котором располагается системы централизованного теплоснабжения.</w:t>
      </w:r>
    </w:p>
    <w:p>
      <w:pPr>
        <w:pStyle w:val="A1"/>
        <w:rPr>
          <w:rStyle w:val="W"/>
        </w:rPr>
      </w:pPr>
      <w:r>
        <w:rPr/>
        <w:t xml:space="preserve"> </w:t>
      </w:r>
      <w:r>
        <w:rPr/>
        <w:t>Зона действия источника тепловой энергии – территория</w:t>
      </w:r>
      <w:r>
        <w:rPr>
          <w:rStyle w:val="W"/>
        </w:rPr>
        <w:t xml:space="preserve"> поселения городского округа</w:t>
      </w:r>
      <w:r>
        <w:rPr/>
        <w:t>, </w:t>
      </w:r>
      <w:r>
        <w:rPr>
          <w:rStyle w:val="W"/>
        </w:rPr>
        <w:t>границы</w:t>
      </w:r>
      <w:r>
        <w:rPr/>
        <w:t> </w:t>
      </w:r>
      <w:r>
        <w:rPr>
          <w:rStyle w:val="W"/>
        </w:rPr>
        <w:t>которой</w:t>
      </w:r>
      <w:r>
        <w:rPr/>
        <w:t> </w:t>
      </w:r>
      <w:r>
        <w:rPr>
          <w:rStyle w:val="W"/>
        </w:rPr>
        <w:t>устанавливаются</w:t>
      </w:r>
      <w:r>
        <w:rPr/>
        <w:t> </w:t>
      </w:r>
      <w:r>
        <w:rPr>
          <w:rStyle w:val="W"/>
        </w:rPr>
        <w:t>закрытыми</w:t>
      </w:r>
      <w:r>
        <w:rPr/>
        <w:t> </w:t>
      </w:r>
      <w:r>
        <w:rPr>
          <w:rStyle w:val="W"/>
        </w:rPr>
        <w:t>секционирующими задвижками тепловой</w:t>
      </w:r>
      <w:r>
        <w:rPr/>
        <w:t xml:space="preserve"> </w:t>
      </w:r>
      <w:r>
        <w:rPr>
          <w:rStyle w:val="W"/>
        </w:rPr>
        <w:t>сети</w:t>
      </w:r>
      <w:r>
        <w:rPr/>
        <w:t> </w:t>
      </w:r>
      <w:r>
        <w:rPr>
          <w:rStyle w:val="W"/>
        </w:rPr>
        <w:t>системы</w:t>
      </w:r>
      <w:r>
        <w:rPr/>
        <w:t> </w:t>
      </w:r>
      <w:r>
        <w:rPr>
          <w:rStyle w:val="W"/>
        </w:rPr>
        <w:t xml:space="preserve">теплоснабжения. В Камышловском городском округе можно выделить следующие зоны действия источников тепловой энергии с выделением </w:t>
      </w:r>
      <w:r>
        <w:rPr/>
        <w:t>идентификационных номеров зон действия (ИНЗД)</w:t>
      </w:r>
      <w:r>
        <w:rPr>
          <w:rStyle w:val="W"/>
        </w:rPr>
        <w:t>:</w:t>
      </w:r>
    </w:p>
    <w:p>
      <w:pPr>
        <w:pStyle w:val="Style92"/>
        <w:numPr>
          <w:ilvl w:val="0"/>
          <w:numId w:val="4"/>
        </w:numPr>
        <w:spacing w:lineRule="auto" w:line="276"/>
        <w:ind w:left="0" w:firstLine="567"/>
        <w:rPr/>
      </w:pPr>
      <w:r>
        <w:rPr/>
        <w:t>Зона действия котельной «Пролетарская», ИНЗД – 1;</w:t>
      </w:r>
    </w:p>
    <w:p>
      <w:pPr>
        <w:pStyle w:val="Style92"/>
        <w:numPr>
          <w:ilvl w:val="0"/>
          <w:numId w:val="4"/>
        </w:numPr>
        <w:spacing w:lineRule="auto" w:line="276"/>
        <w:ind w:left="0" w:firstLine="567"/>
        <w:rPr/>
      </w:pPr>
      <w:r>
        <w:rPr/>
        <w:t>Зона действия котельной «Железнодорожная», ИНЗД – 2;</w:t>
      </w:r>
    </w:p>
    <w:p>
      <w:pPr>
        <w:pStyle w:val="Style92"/>
        <w:numPr>
          <w:ilvl w:val="0"/>
          <w:numId w:val="4"/>
        </w:numPr>
        <w:spacing w:lineRule="auto" w:line="276"/>
        <w:ind w:left="0" w:firstLine="567"/>
        <w:rPr/>
      </w:pPr>
      <w:r>
        <w:rPr/>
        <w:t>Зона действия котельной «Карла Либкнехта 28», ИНЗД – 3;</w:t>
      </w:r>
    </w:p>
    <w:p>
      <w:pPr>
        <w:pStyle w:val="Style92"/>
        <w:numPr>
          <w:ilvl w:val="0"/>
          <w:numId w:val="4"/>
        </w:numPr>
        <w:spacing w:lineRule="auto" w:line="276"/>
        <w:ind w:left="0" w:firstLine="567"/>
        <w:rPr/>
      </w:pPr>
      <w:r>
        <w:rPr/>
        <w:t>Зона действия котельной «Стадион», ИНЗД – 4;</w:t>
      </w:r>
    </w:p>
    <w:p>
      <w:pPr>
        <w:pStyle w:val="Style92"/>
        <w:numPr>
          <w:ilvl w:val="0"/>
          <w:numId w:val="4"/>
        </w:numPr>
        <w:spacing w:lineRule="auto" w:line="276"/>
        <w:ind w:left="0" w:firstLine="567"/>
        <w:rPr/>
      </w:pPr>
      <w:r>
        <w:rPr/>
        <w:t>Зона действия котельной «ЗСМ», ИНЗД – 5;</w:t>
      </w:r>
    </w:p>
    <w:p>
      <w:pPr>
        <w:pStyle w:val="Style92"/>
        <w:numPr>
          <w:ilvl w:val="0"/>
          <w:numId w:val="4"/>
        </w:numPr>
        <w:spacing w:lineRule="auto" w:line="276"/>
        <w:ind w:left="0" w:firstLine="567"/>
        <w:rPr/>
      </w:pPr>
      <w:r>
        <w:rPr/>
        <w:t>Зона действия котельной «Роза Люксембург», ИНЗД – 6;</w:t>
      </w:r>
    </w:p>
    <w:p>
      <w:pPr>
        <w:pStyle w:val="Style92"/>
        <w:numPr>
          <w:ilvl w:val="0"/>
          <w:numId w:val="4"/>
        </w:numPr>
        <w:spacing w:lineRule="auto" w:line="276"/>
        <w:ind w:left="0" w:firstLine="567"/>
        <w:rPr/>
      </w:pPr>
      <w:r>
        <w:rPr/>
        <w:t>Зона действия котельной «ПЛ-16», ИНЗД – 7;</w:t>
      </w:r>
    </w:p>
    <w:p>
      <w:pPr>
        <w:pStyle w:val="Style92"/>
        <w:numPr>
          <w:ilvl w:val="0"/>
          <w:numId w:val="4"/>
        </w:numPr>
        <w:spacing w:lineRule="auto" w:line="276"/>
        <w:ind w:left="0" w:firstLine="567"/>
        <w:rPr/>
      </w:pPr>
      <w:r>
        <w:rPr/>
        <w:t>Зона действия котельной «Константиновка», ИНЗД – 8;</w:t>
      </w:r>
    </w:p>
    <w:p>
      <w:pPr>
        <w:pStyle w:val="Style92"/>
        <w:numPr>
          <w:ilvl w:val="0"/>
          <w:numId w:val="4"/>
        </w:numPr>
        <w:spacing w:lineRule="auto" w:line="276"/>
        <w:ind w:left="0" w:firstLine="567"/>
        <w:rPr/>
      </w:pPr>
      <w:r>
        <w:rPr/>
        <w:t>Зона действия котельной «Плодопитомник», ИНЗД – 9;</w:t>
      </w:r>
    </w:p>
    <w:p>
      <w:pPr>
        <w:pStyle w:val="Style92"/>
        <w:numPr>
          <w:ilvl w:val="0"/>
          <w:numId w:val="4"/>
        </w:numPr>
        <w:spacing w:lineRule="auto" w:line="276"/>
        <w:ind w:left="0" w:firstLine="567"/>
        <w:rPr/>
      </w:pPr>
      <w:r>
        <w:rPr/>
        <w:t>Зона действия котельной «Школа №1», ИНЗД – 10;</w:t>
      </w:r>
    </w:p>
    <w:p>
      <w:pPr>
        <w:pStyle w:val="Style92"/>
        <w:numPr>
          <w:ilvl w:val="0"/>
          <w:numId w:val="4"/>
        </w:numPr>
        <w:spacing w:lineRule="auto" w:line="276"/>
        <w:ind w:left="0" w:firstLine="567"/>
        <w:rPr/>
      </w:pPr>
      <w:r>
        <w:rPr/>
        <w:t>Зона действия котельной «Орбита», ИНЗД – 11;</w:t>
      </w:r>
    </w:p>
    <w:p>
      <w:pPr>
        <w:pStyle w:val="Style92"/>
        <w:numPr>
          <w:ilvl w:val="0"/>
          <w:numId w:val="4"/>
        </w:numPr>
        <w:spacing w:lineRule="auto" w:line="276"/>
        <w:ind w:left="0" w:firstLine="567"/>
        <w:rPr/>
      </w:pPr>
      <w:r>
        <w:rPr/>
        <w:t>Зона действия котельной «ОВД», ИНЗД – 12;</w:t>
      </w:r>
    </w:p>
    <w:p>
      <w:pPr>
        <w:pStyle w:val="Style92"/>
        <w:numPr>
          <w:ilvl w:val="0"/>
          <w:numId w:val="4"/>
        </w:numPr>
        <w:spacing w:lineRule="auto" w:line="276"/>
        <w:ind w:left="0" w:firstLine="567"/>
        <w:rPr/>
      </w:pPr>
      <w:r>
        <w:rPr/>
        <w:t>Зона действия котельной «Школа №58», ИНЗД – 13</w:t>
      </w:r>
    </w:p>
    <w:p>
      <w:pPr>
        <w:pStyle w:val="Style92"/>
        <w:numPr>
          <w:ilvl w:val="0"/>
          <w:numId w:val="4"/>
        </w:numPr>
        <w:spacing w:lineRule="auto" w:line="276"/>
        <w:ind w:left="0" w:firstLine="567"/>
        <w:rPr/>
      </w:pPr>
      <w:r>
        <w:rPr/>
        <w:t>Зона действия котельной «РЖД», ИНЗД – 14</w:t>
      </w:r>
    </w:p>
    <w:p>
      <w:pPr>
        <w:pStyle w:val="Style92"/>
        <w:numPr>
          <w:ilvl w:val="0"/>
          <w:numId w:val="4"/>
        </w:numPr>
        <w:spacing w:lineRule="auto" w:line="276"/>
        <w:ind w:left="0" w:firstLine="567"/>
        <w:rPr/>
      </w:pPr>
      <w:r>
        <w:rPr/>
        <w:t>Зона действия котельной ««Школа №7», ИНЗД – 15;</w:t>
      </w:r>
    </w:p>
    <w:p>
      <w:pPr>
        <w:pStyle w:val="Style92"/>
        <w:numPr>
          <w:ilvl w:val="0"/>
          <w:numId w:val="4"/>
        </w:numPr>
        <w:spacing w:lineRule="auto" w:line="276"/>
        <w:ind w:left="0" w:firstLine="567"/>
        <w:rPr/>
      </w:pPr>
      <w:r>
        <w:rPr/>
        <w:t>Зона действия котельной «Виток», ИНЗД – 16;</w:t>
      </w:r>
    </w:p>
    <w:p>
      <w:pPr>
        <w:pStyle w:val="Style92"/>
        <w:numPr>
          <w:ilvl w:val="0"/>
          <w:numId w:val="4"/>
        </w:numPr>
        <w:spacing w:lineRule="auto" w:line="276"/>
        <w:ind w:left="0" w:firstLine="567"/>
        <w:rPr/>
      </w:pPr>
      <w:r>
        <w:rPr/>
        <w:t>Зона действия котельной УИЗ, ИНЗД – 17;</w:t>
      </w:r>
    </w:p>
    <w:p>
      <w:pPr>
        <w:pStyle w:val="Style92"/>
        <w:numPr>
          <w:ilvl w:val="0"/>
          <w:numId w:val="4"/>
        </w:numPr>
        <w:spacing w:lineRule="auto" w:line="276"/>
        <w:ind w:left="0" w:firstLine="567"/>
        <w:rPr/>
      </w:pPr>
      <w:r>
        <w:rPr/>
        <w:t>Зона действия котельной ««Инженерный центр», ИНЗД – 18;</w:t>
      </w:r>
    </w:p>
    <w:p>
      <w:pPr>
        <w:pStyle w:val="Style92"/>
        <w:numPr>
          <w:ilvl w:val="0"/>
          <w:numId w:val="4"/>
        </w:numPr>
        <w:spacing w:lineRule="auto" w:line="276"/>
        <w:ind w:left="0" w:firstLine="567"/>
        <w:rPr/>
      </w:pPr>
      <w:r>
        <w:rPr/>
        <w:t>Зона действия котельной «КГТТ», ИНЗД – 19;</w:t>
      </w:r>
    </w:p>
    <w:p>
      <w:pPr>
        <w:pStyle w:val="Style92"/>
        <w:numPr>
          <w:ilvl w:val="0"/>
          <w:numId w:val="4"/>
        </w:numPr>
        <w:spacing w:lineRule="auto" w:line="276"/>
        <w:ind w:left="0" w:firstLine="567"/>
        <w:rPr/>
      </w:pPr>
      <w:r>
        <w:rPr/>
        <w:t>Зона действия котельной «КЭЧ», ИНЗД – 20;</w:t>
      </w:r>
    </w:p>
    <w:p>
      <w:pPr>
        <w:pStyle w:val="Style92"/>
        <w:numPr>
          <w:ilvl w:val="0"/>
          <w:numId w:val="4"/>
        </w:numPr>
        <w:spacing w:lineRule="auto" w:line="276"/>
        <w:ind w:left="0" w:firstLine="567"/>
        <w:rPr/>
      </w:pPr>
      <w:r>
        <w:rPr/>
        <w:t>Зона действия котельной «Сельэнерго», ИНЗД – 21;</w:t>
      </w:r>
    </w:p>
    <w:p>
      <w:pPr>
        <w:pStyle w:val="Style92"/>
        <w:numPr>
          <w:ilvl w:val="0"/>
          <w:numId w:val="4"/>
        </w:numPr>
        <w:spacing w:lineRule="auto" w:line="276"/>
        <w:ind w:left="0" w:firstLine="567"/>
        <w:rPr/>
      </w:pPr>
      <w:r>
        <w:rPr/>
        <w:t>Зона действия котельной ««Агроспецмонтаж», ИНЗД – 22;</w:t>
      </w:r>
    </w:p>
    <w:p>
      <w:pPr>
        <w:pStyle w:val="Style92"/>
        <w:numPr>
          <w:ilvl w:val="0"/>
          <w:numId w:val="4"/>
        </w:numPr>
        <w:spacing w:lineRule="auto" w:line="276"/>
        <w:ind w:left="0" w:firstLine="567"/>
        <w:rPr/>
      </w:pPr>
      <w:r>
        <w:rPr/>
        <w:t>Зона действия котельной «ПДУ», ИНЗД – 23;</w:t>
      </w:r>
    </w:p>
    <w:p>
      <w:pPr>
        <w:pStyle w:val="Style92"/>
        <w:numPr>
          <w:ilvl w:val="0"/>
          <w:numId w:val="4"/>
        </w:numPr>
        <w:spacing w:lineRule="auto" w:line="276"/>
        <w:ind w:left="0" w:firstLine="567"/>
        <w:rPr/>
      </w:pPr>
      <w:r>
        <w:rPr/>
        <w:t>Зона действия котельной ЛТЦ, ИНЗД – 24;</w:t>
      </w:r>
    </w:p>
    <w:p>
      <w:pPr>
        <w:pStyle w:val="Style92"/>
        <w:numPr>
          <w:ilvl w:val="0"/>
          <w:numId w:val="4"/>
        </w:numPr>
        <w:spacing w:lineRule="auto" w:line="276"/>
        <w:ind w:left="0" w:firstLine="567"/>
        <w:rPr/>
      </w:pPr>
      <w:r>
        <w:rPr/>
        <w:t>Зона действия котельной «Пригородный», ИНЗД – 25;</w:t>
      </w:r>
    </w:p>
    <w:p>
      <w:pPr>
        <w:pStyle w:val="Style92"/>
        <w:numPr>
          <w:ilvl w:val="0"/>
          <w:numId w:val="4"/>
        </w:numPr>
        <w:spacing w:lineRule="auto" w:line="276"/>
        <w:ind w:left="0" w:firstLine="567"/>
        <w:rPr/>
      </w:pPr>
      <w:r>
        <w:rPr/>
        <w:t>Зона действия котельной «Городская баня», ИНЗД – 26;</w:t>
      </w:r>
    </w:p>
    <w:p>
      <w:pPr>
        <w:pStyle w:val="Style92"/>
        <w:numPr>
          <w:ilvl w:val="0"/>
          <w:numId w:val="4"/>
        </w:numPr>
        <w:spacing w:lineRule="auto" w:line="276"/>
        <w:ind w:left="0" w:firstLine="567"/>
        <w:rPr/>
      </w:pPr>
      <w:r>
        <w:rPr/>
        <w:t>Зона действия котельной «Филиал № 2 ФГКУ "354 ВКГ" МО РФ», ИНЗД – 27;</w:t>
      </w:r>
    </w:p>
    <w:p>
      <w:pPr>
        <w:pStyle w:val="Style92"/>
        <w:numPr>
          <w:ilvl w:val="0"/>
          <w:numId w:val="4"/>
        </w:numPr>
        <w:spacing w:lineRule="auto" w:line="276"/>
        <w:ind w:left="0" w:firstLine="567"/>
        <w:rPr/>
      </w:pPr>
      <w:r>
        <w:rPr/>
        <w:t>Зона действия котельной «в/ч 75485», ИНЗД – 28;</w:t>
      </w:r>
    </w:p>
    <w:p>
      <w:pPr>
        <w:pStyle w:val="Normal"/>
        <w:suppressAutoHyphens w:val="true"/>
        <w:spacing w:lineRule="auto" w:line="360"/>
        <w:ind w:firstLine="567"/>
        <w:jc w:val="both"/>
        <w:rPr>
          <w:rStyle w:val="A"/>
        </w:rPr>
      </w:pPr>
      <w:r>
        <w:rPr>
          <w:szCs w:val="22"/>
          <w:lang w:eastAsia="ar-SA"/>
        </w:rPr>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внутри которых </w:t>
      </w:r>
      <w:r>
        <w:rPr>
          <w:rStyle w:val="A"/>
        </w:rPr>
        <w:t xml:space="preserve">расположены все объекты потребления тепловой энергии, представлены на рисунках </w:t>
      </w:r>
      <w:r>
        <w:rPr>
          <w:rStyle w:val="A"/>
        </w:rPr>
        <w:fldChar w:fldCharType="begin"/>
      </w:r>
      <w:r>
        <w:rPr>
          <w:rStyle w:val="A"/>
        </w:rPr>
        <w:instrText> REF _Ref429755819 \h </w:instrText>
      </w:r>
      <w:r>
        <w:rPr>
          <w:rStyle w:val="A"/>
        </w:rPr>
        <w:fldChar w:fldCharType="separate"/>
      </w:r>
      <w:r>
        <w:rPr>
          <w:rStyle w:val="A"/>
        </w:rPr>
        <w:t>Рисунок 2</w:t>
      </w:r>
      <w:r>
        <w:rPr>
          <w:rStyle w:val="A"/>
        </w:rPr>
        <w:fldChar w:fldCharType="end"/>
      </w:r>
      <w:r>
        <w:rPr>
          <w:rStyle w:val="A"/>
        </w:rPr>
        <w:t>-</w:t>
      </w:r>
      <w:r>
        <w:rPr>
          <w:rStyle w:val="A"/>
        </w:rPr>
        <w:fldChar w:fldCharType="begin"/>
      </w:r>
      <w:r>
        <w:rPr>
          <w:rStyle w:val="A"/>
        </w:rPr>
        <w:instrText> REF _Ref7181293 \h </w:instrText>
      </w:r>
      <w:r>
        <w:rPr>
          <w:rStyle w:val="A"/>
        </w:rPr>
        <w:fldChar w:fldCharType="separate"/>
      </w:r>
      <w:r>
        <w:rPr>
          <w:rStyle w:val="A"/>
        </w:rPr>
        <w:t>Рисунок 24</w:t>
      </w:r>
      <w:r>
        <w:rPr>
          <w:rStyle w:val="A"/>
        </w:rPr>
        <w:fldChar w:fldCharType="end"/>
      </w:r>
      <w:r>
        <w:rPr>
          <w:rStyle w:val="A"/>
        </w:rPr>
        <w:t>. Подробные принципиальные схемы зон действия источников тепловой энергии Камышловского городского округа представлены в Приложении 4.</w:t>
      </w:r>
    </w:p>
    <w:p>
      <w:pPr>
        <w:pStyle w:val="Normal"/>
        <w:suppressAutoHyphens w:val="true"/>
        <w:spacing w:lineRule="auto" w:line="360"/>
        <w:jc w:val="center"/>
        <w:rPr>
          <w:rStyle w:val="A"/>
        </w:rPr>
      </w:pPr>
      <w:r>
        <w:rPr/>
        <w:drawing>
          <wp:inline distT="0" distB="0" distL="0" distR="0">
            <wp:extent cx="4298315" cy="4098925"/>
            <wp:effectExtent l="0" t="0" r="0" b="0"/>
            <wp:docPr id="5" name="Рисунок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54" descr=""/>
                    <pic:cNvPicPr>
                      <a:picLocks noChangeAspect="1" noChangeArrowheads="1"/>
                    </pic:cNvPicPr>
                  </pic:nvPicPr>
                  <pic:blipFill>
                    <a:blip r:embed="rId9"/>
                    <a:srcRect l="0" t="0" r="4800" b="0"/>
                    <a:stretch>
                      <a:fillRect/>
                    </a:stretch>
                  </pic:blipFill>
                  <pic:spPr bwMode="auto">
                    <a:xfrm>
                      <a:off x="0" y="0"/>
                      <a:ext cx="4298315" cy="4098925"/>
                    </a:xfrm>
                    <a:prstGeom prst="rect">
                      <a:avLst/>
                    </a:prstGeom>
                  </pic:spPr>
                </pic:pic>
              </a:graphicData>
            </a:graphic>
          </wp:inline>
        </w:drawing>
      </w:r>
    </w:p>
    <w:p>
      <w:pPr>
        <w:pStyle w:val="Style84"/>
        <w:rPr/>
      </w:pPr>
      <w:bookmarkStart w:id="85" w:name="_Ref429755819"/>
      <w:r>
        <w:rPr/>
        <w:t xml:space="preserve">Рисунок </w:t>
      </w:r>
      <w:r>
        <w:rPr/>
        <w:fldChar w:fldCharType="begin"/>
      </w:r>
      <w:r>
        <w:rPr/>
        <w:instrText> SEQ Рисунок \* ARABIC </w:instrText>
      </w:r>
      <w:r>
        <w:rPr/>
        <w:fldChar w:fldCharType="separate"/>
      </w:r>
      <w:r>
        <w:rPr/>
        <w:t>2</w:t>
      </w:r>
      <w:r>
        <w:rPr/>
        <w:fldChar w:fldCharType="end"/>
      </w:r>
      <w:bookmarkEnd w:id="85"/>
      <w:r>
        <w:rPr/>
        <w:t>. Зона действия котельной «Пролетарская», ИНЗД – 1 (1-ая ветка)</w:t>
      </w:r>
    </w:p>
    <w:p>
      <w:pPr>
        <w:pStyle w:val="Normal"/>
        <w:keepNext w:val="true"/>
        <w:jc w:val="center"/>
        <w:rPr>
          <w:color w:val="FF0000"/>
        </w:rPr>
      </w:pPr>
      <w:r>
        <w:rPr/>
        <w:drawing>
          <wp:inline distT="0" distB="0" distL="0" distR="0">
            <wp:extent cx="4072255" cy="4143375"/>
            <wp:effectExtent l="0" t="0" r="0" b="0"/>
            <wp:docPr id="6" name="Рисунок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57" descr=""/>
                    <pic:cNvPicPr>
                      <a:picLocks noChangeAspect="1" noChangeArrowheads="1"/>
                    </pic:cNvPicPr>
                  </pic:nvPicPr>
                  <pic:blipFill>
                    <a:blip r:embed="rId10"/>
                    <a:stretch>
                      <a:fillRect/>
                    </a:stretch>
                  </pic:blipFill>
                  <pic:spPr bwMode="auto">
                    <a:xfrm>
                      <a:off x="0" y="0"/>
                      <a:ext cx="4072255" cy="414337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3</w:t>
      </w:r>
      <w:r>
        <w:rPr/>
        <w:fldChar w:fldCharType="end"/>
      </w:r>
      <w:r>
        <w:rPr/>
        <w:t xml:space="preserve">. Зона действия котельной «Пролетарская», ИНЗД – 1 (2-ая ветка) </w:t>
      </w:r>
    </w:p>
    <w:p>
      <w:pPr>
        <w:pStyle w:val="Style84"/>
        <w:rPr>
          <w:lang w:val="en-US"/>
        </w:rPr>
      </w:pPr>
      <w:r>
        <w:rPr/>
        <w:drawing>
          <wp:inline distT="0" distB="0" distL="0" distR="0">
            <wp:extent cx="6583045" cy="358140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11"/>
                    <a:stretch>
                      <a:fillRect/>
                    </a:stretch>
                  </pic:blipFill>
                  <pic:spPr bwMode="auto">
                    <a:xfrm>
                      <a:off x="0" y="0"/>
                      <a:ext cx="6583045" cy="35814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4</w:t>
      </w:r>
      <w:r>
        <w:rPr/>
        <w:fldChar w:fldCharType="end"/>
      </w:r>
      <w:r>
        <w:rPr/>
        <w:t>. Зона действия котельной «Железнодорожная», ИНЗД – 2</w:t>
      </w:r>
    </w:p>
    <w:p>
      <w:pPr>
        <w:pStyle w:val="Style84"/>
        <w:rPr/>
      </w:pPr>
      <w:r>
        <w:rPr/>
      </w:r>
    </w:p>
    <w:p>
      <w:pPr>
        <w:pStyle w:val="Style84"/>
        <w:rPr/>
      </w:pPr>
      <w:r>
        <w:rPr/>
        <w:drawing>
          <wp:inline distT="0" distB="0" distL="0" distR="0">
            <wp:extent cx="2544445" cy="1456690"/>
            <wp:effectExtent l="0" t="0" r="0" b="0"/>
            <wp:docPr id="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
                    <pic:cNvPicPr>
                      <a:picLocks noChangeAspect="1" noChangeArrowheads="1"/>
                    </pic:cNvPicPr>
                  </pic:nvPicPr>
                  <pic:blipFill>
                    <a:blip r:embed="rId12"/>
                    <a:stretch>
                      <a:fillRect/>
                    </a:stretch>
                  </pic:blipFill>
                  <pic:spPr bwMode="auto">
                    <a:xfrm>
                      <a:off x="0" y="0"/>
                      <a:ext cx="2544445" cy="145669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5</w:t>
      </w:r>
      <w:r>
        <w:rPr/>
        <w:fldChar w:fldCharType="end"/>
      </w:r>
      <w:r>
        <w:rPr/>
        <w:t>. Зона действия котельной «Карла Либкнехта 28», ИНЗД – 3</w:t>
      </w:r>
    </w:p>
    <w:p>
      <w:pPr>
        <w:pStyle w:val="Normal"/>
        <w:keepNext w:val="true"/>
        <w:jc w:val="center"/>
        <w:rPr>
          <w:color w:val="FF0000"/>
        </w:rPr>
      </w:pPr>
      <w:r>
        <w:rPr/>
        <w:drawing>
          <wp:inline distT="0" distB="0" distL="0" distR="0">
            <wp:extent cx="3651885" cy="3977640"/>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
                    <pic:cNvPicPr>
                      <a:picLocks noChangeAspect="1" noChangeArrowheads="1"/>
                    </pic:cNvPicPr>
                  </pic:nvPicPr>
                  <pic:blipFill>
                    <a:blip r:embed="rId13"/>
                    <a:stretch>
                      <a:fillRect/>
                    </a:stretch>
                  </pic:blipFill>
                  <pic:spPr bwMode="auto">
                    <a:xfrm>
                      <a:off x="0" y="0"/>
                      <a:ext cx="3651885" cy="397764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6</w:t>
      </w:r>
      <w:r>
        <w:rPr/>
        <w:fldChar w:fldCharType="end"/>
      </w:r>
      <w:r>
        <w:rPr/>
        <w:t>. Зона действия котельной «Стадион», ИНЗД – 4</w:t>
      </w:r>
    </w:p>
    <w:p>
      <w:pPr>
        <w:pStyle w:val="Style84"/>
        <w:rPr/>
      </w:pPr>
      <w:r>
        <w:rPr/>
        <w:drawing>
          <wp:inline distT="0" distB="0" distL="0" distR="0">
            <wp:extent cx="4646930" cy="4069080"/>
            <wp:effectExtent l="0" t="0" r="0" b="0"/>
            <wp:docPr id="10"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descr=""/>
                    <pic:cNvPicPr>
                      <a:picLocks noChangeAspect="1" noChangeArrowheads="1"/>
                    </pic:cNvPicPr>
                  </pic:nvPicPr>
                  <pic:blipFill>
                    <a:blip r:embed="rId14"/>
                    <a:stretch>
                      <a:fillRect/>
                    </a:stretch>
                  </pic:blipFill>
                  <pic:spPr bwMode="auto">
                    <a:xfrm>
                      <a:off x="0" y="0"/>
                      <a:ext cx="4646930" cy="406908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7</w:t>
      </w:r>
      <w:r>
        <w:rPr/>
        <w:fldChar w:fldCharType="end"/>
      </w:r>
      <w:r>
        <w:rPr/>
        <w:t>. Зона действия котельной «ЗСМ», ИНЗД – 5</w:t>
      </w:r>
    </w:p>
    <w:p>
      <w:pPr>
        <w:pStyle w:val="Style84"/>
        <w:rPr/>
      </w:pPr>
      <w:r>
        <w:rPr/>
        <w:drawing>
          <wp:inline distT="0" distB="0" distL="0" distR="0">
            <wp:extent cx="6480175" cy="5033645"/>
            <wp:effectExtent l="0" t="0" r="0" b="0"/>
            <wp:docPr id="1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descr=""/>
                    <pic:cNvPicPr>
                      <a:picLocks noChangeAspect="1" noChangeArrowheads="1"/>
                    </pic:cNvPicPr>
                  </pic:nvPicPr>
                  <pic:blipFill>
                    <a:blip r:embed="rId15"/>
                    <a:stretch>
                      <a:fillRect/>
                    </a:stretch>
                  </pic:blipFill>
                  <pic:spPr bwMode="auto">
                    <a:xfrm>
                      <a:off x="0" y="0"/>
                      <a:ext cx="6480175" cy="503364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8</w:t>
      </w:r>
      <w:r>
        <w:rPr/>
        <w:fldChar w:fldCharType="end"/>
      </w:r>
      <w:r>
        <w:rPr/>
        <w:t>. Зона действия котельной «Роза Люксембург», ИНЗД – 6</w:t>
      </w:r>
    </w:p>
    <w:p>
      <w:pPr>
        <w:pStyle w:val="Style84"/>
        <w:keepNext w:val="true"/>
        <w:rPr/>
      </w:pPr>
      <w:r>
        <w:rPr/>
        <w:drawing>
          <wp:inline distT="0" distB="0" distL="0" distR="0">
            <wp:extent cx="4656455" cy="3061970"/>
            <wp:effectExtent l="0" t="0" r="0" b="0"/>
            <wp:docPr id="12"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1" descr=""/>
                    <pic:cNvPicPr>
                      <a:picLocks noChangeAspect="1" noChangeArrowheads="1"/>
                    </pic:cNvPicPr>
                  </pic:nvPicPr>
                  <pic:blipFill>
                    <a:blip r:embed="rId16"/>
                    <a:stretch>
                      <a:fillRect/>
                    </a:stretch>
                  </pic:blipFill>
                  <pic:spPr bwMode="auto">
                    <a:xfrm>
                      <a:off x="0" y="0"/>
                      <a:ext cx="4656455" cy="306197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9</w:t>
      </w:r>
      <w:r>
        <w:rPr/>
        <w:fldChar w:fldCharType="end"/>
      </w:r>
      <w:r>
        <w:rPr/>
        <w:t>. Зона действия котельной «ПЛ-16», ИНЗД – 7;</w:t>
      </w:r>
    </w:p>
    <w:p>
      <w:pPr>
        <w:pStyle w:val="Caption"/>
        <w:jc w:val="center"/>
        <w:rPr/>
      </w:pPr>
      <w:r>
        <w:rPr/>
      </w:r>
    </w:p>
    <w:p>
      <w:pPr>
        <w:pStyle w:val="Style84"/>
        <w:rPr/>
      </w:pPr>
      <w:r>
        <w:rPr/>
      </w:r>
    </w:p>
    <w:p>
      <w:pPr>
        <w:pStyle w:val="Style84"/>
        <w:rPr/>
      </w:pPr>
      <w:r>
        <w:rPr/>
        <w:drawing>
          <wp:inline distT="0" distB="0" distL="0" distR="0">
            <wp:extent cx="6480175" cy="2643505"/>
            <wp:effectExtent l="0" t="0" r="0" b="0"/>
            <wp:docPr id="13"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9" descr=""/>
                    <pic:cNvPicPr>
                      <a:picLocks noChangeAspect="1" noChangeArrowheads="1"/>
                    </pic:cNvPicPr>
                  </pic:nvPicPr>
                  <pic:blipFill>
                    <a:blip r:embed="rId17"/>
                    <a:stretch>
                      <a:fillRect/>
                    </a:stretch>
                  </pic:blipFill>
                  <pic:spPr bwMode="auto">
                    <a:xfrm>
                      <a:off x="0" y="0"/>
                      <a:ext cx="6480175" cy="264350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10</w:t>
      </w:r>
      <w:r>
        <w:rPr/>
        <w:fldChar w:fldCharType="end"/>
      </w:r>
      <w:r>
        <w:rPr/>
        <w:t>. Зона действия котельной «Константиновка», ИНЗД – 8</w:t>
      </w:r>
    </w:p>
    <w:p>
      <w:pPr>
        <w:pStyle w:val="Style84"/>
        <w:rPr/>
      </w:pPr>
      <w:r>
        <w:rPr/>
        <w:drawing>
          <wp:inline distT="0" distB="0" distL="0" distR="0">
            <wp:extent cx="3797935" cy="4069715"/>
            <wp:effectExtent l="0" t="0" r="0" b="0"/>
            <wp:docPr id="14"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2" descr=""/>
                    <pic:cNvPicPr>
                      <a:picLocks noChangeAspect="1" noChangeArrowheads="1"/>
                    </pic:cNvPicPr>
                  </pic:nvPicPr>
                  <pic:blipFill>
                    <a:blip r:embed="rId18"/>
                    <a:stretch>
                      <a:fillRect/>
                    </a:stretch>
                  </pic:blipFill>
                  <pic:spPr bwMode="auto">
                    <a:xfrm>
                      <a:off x="0" y="0"/>
                      <a:ext cx="3797935" cy="406971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11</w:t>
      </w:r>
      <w:r>
        <w:rPr/>
        <w:fldChar w:fldCharType="end"/>
      </w:r>
      <w:r>
        <w:rPr/>
        <w:t>. Зона действия котельной «Плодопитомник», ИНЗД – 9</w:t>
      </w:r>
    </w:p>
    <w:p>
      <w:pPr>
        <w:pStyle w:val="Style84"/>
        <w:rPr/>
      </w:pPr>
      <w:r>
        <w:rPr/>
        <w:drawing>
          <wp:inline distT="0" distB="0" distL="0" distR="0">
            <wp:extent cx="2905125" cy="5562600"/>
            <wp:effectExtent l="0" t="0" r="0" b="0"/>
            <wp:docPr id="1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5" descr=""/>
                    <pic:cNvPicPr>
                      <a:picLocks noChangeAspect="1" noChangeArrowheads="1"/>
                    </pic:cNvPicPr>
                  </pic:nvPicPr>
                  <pic:blipFill>
                    <a:blip r:embed="rId19"/>
                    <a:stretch>
                      <a:fillRect/>
                    </a:stretch>
                  </pic:blipFill>
                  <pic:spPr bwMode="auto">
                    <a:xfrm>
                      <a:off x="0" y="0"/>
                      <a:ext cx="2905125" cy="55626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12</w:t>
      </w:r>
      <w:r>
        <w:rPr/>
        <w:fldChar w:fldCharType="end"/>
      </w:r>
      <w:r>
        <w:rPr/>
        <w:t>. Зона действия котельной «Школа №1», ИНЗД – 10</w:t>
      </w:r>
    </w:p>
    <w:p>
      <w:pPr>
        <w:pStyle w:val="Style84"/>
        <w:keepNext w:val="true"/>
        <w:rPr/>
      </w:pPr>
      <w:r>
        <w:rPr/>
        <w:drawing>
          <wp:inline distT="0" distB="0" distL="0" distR="0">
            <wp:extent cx="1976755" cy="2349500"/>
            <wp:effectExtent l="0" t="0" r="0" b="0"/>
            <wp:docPr id="16" name="Рисунок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56" descr=""/>
                    <pic:cNvPicPr>
                      <a:picLocks noChangeAspect="1" noChangeArrowheads="1"/>
                    </pic:cNvPicPr>
                  </pic:nvPicPr>
                  <pic:blipFill>
                    <a:blip r:embed="rId20"/>
                    <a:stretch>
                      <a:fillRect/>
                    </a:stretch>
                  </pic:blipFill>
                  <pic:spPr bwMode="auto">
                    <a:xfrm>
                      <a:off x="0" y="0"/>
                      <a:ext cx="1976755" cy="23495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13</w:t>
      </w:r>
      <w:r>
        <w:rPr/>
        <w:fldChar w:fldCharType="end"/>
      </w:r>
      <w:r>
        <w:rPr/>
        <w:t>. Зона действия котельной «Орбита», ИНЗД – 11</w:t>
      </w:r>
    </w:p>
    <w:p>
      <w:pPr>
        <w:pStyle w:val="Style84"/>
        <w:rPr/>
      </w:pPr>
      <w:r>
        <w:rPr/>
        <w:drawing>
          <wp:inline distT="0" distB="0" distL="0" distR="0">
            <wp:extent cx="3086100" cy="3276600"/>
            <wp:effectExtent l="0" t="0" r="0" b="0"/>
            <wp:docPr id="17" name="Рисунок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59" descr=""/>
                    <pic:cNvPicPr>
                      <a:picLocks noChangeAspect="1" noChangeArrowheads="1"/>
                    </pic:cNvPicPr>
                  </pic:nvPicPr>
                  <pic:blipFill>
                    <a:blip r:embed="rId21"/>
                    <a:stretch>
                      <a:fillRect/>
                    </a:stretch>
                  </pic:blipFill>
                  <pic:spPr bwMode="auto">
                    <a:xfrm>
                      <a:off x="0" y="0"/>
                      <a:ext cx="3086100" cy="32766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14</w:t>
      </w:r>
      <w:r>
        <w:rPr/>
        <w:fldChar w:fldCharType="end"/>
      </w:r>
      <w:r>
        <w:rPr/>
        <w:t xml:space="preserve">. Зона действия котельной «ОВД», </w:t>
        <w:br/>
        <w:t>ИНЗД – 12</w:t>
      </w:r>
    </w:p>
    <w:p>
      <w:pPr>
        <w:pStyle w:val="Style84"/>
        <w:keepNext w:val="true"/>
        <w:rPr/>
      </w:pPr>
      <w:r>
        <w:rPr/>
        <w:drawing>
          <wp:inline distT="0" distB="0" distL="0" distR="0">
            <wp:extent cx="4772025" cy="2943225"/>
            <wp:effectExtent l="0" t="0" r="0" b="0"/>
            <wp:docPr id="18" name="Рисунок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60" descr=""/>
                    <pic:cNvPicPr>
                      <a:picLocks noChangeAspect="1" noChangeArrowheads="1"/>
                    </pic:cNvPicPr>
                  </pic:nvPicPr>
                  <pic:blipFill>
                    <a:blip r:embed="rId22"/>
                    <a:stretch>
                      <a:fillRect/>
                    </a:stretch>
                  </pic:blipFill>
                  <pic:spPr bwMode="auto">
                    <a:xfrm>
                      <a:off x="0" y="0"/>
                      <a:ext cx="4772025" cy="294322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15</w:t>
      </w:r>
      <w:r>
        <w:rPr/>
        <w:fldChar w:fldCharType="end"/>
      </w:r>
      <w:r>
        <w:rPr/>
        <w:t xml:space="preserve">. Зона действия котельной «Школа №58», </w:t>
        <w:br/>
        <w:t>ИНЗД – 13</w:t>
      </w:r>
    </w:p>
    <w:p>
      <w:pPr>
        <w:pStyle w:val="Style84"/>
        <w:keepNext w:val="true"/>
        <w:rPr/>
      </w:pPr>
      <w:r>
        <w:rPr/>
        <w:drawing>
          <wp:inline distT="0" distB="0" distL="0" distR="0">
            <wp:extent cx="3114675" cy="2600325"/>
            <wp:effectExtent l="0" t="0" r="0" b="0"/>
            <wp:docPr id="19" name="Рисунок 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61" descr=""/>
                    <pic:cNvPicPr>
                      <a:picLocks noChangeAspect="1" noChangeArrowheads="1"/>
                    </pic:cNvPicPr>
                  </pic:nvPicPr>
                  <pic:blipFill>
                    <a:blip r:embed="rId23"/>
                    <a:stretch>
                      <a:fillRect/>
                    </a:stretch>
                  </pic:blipFill>
                  <pic:spPr bwMode="auto">
                    <a:xfrm>
                      <a:off x="0" y="0"/>
                      <a:ext cx="3114675" cy="260032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16</w:t>
      </w:r>
      <w:r>
        <w:rPr/>
        <w:fldChar w:fldCharType="end"/>
      </w:r>
      <w:r>
        <w:rPr/>
        <w:t xml:space="preserve">. Зона действия котельной «РЖД», </w:t>
        <w:br/>
        <w:t>ИНЗД – 14</w:t>
      </w:r>
    </w:p>
    <w:p>
      <w:pPr>
        <w:pStyle w:val="Caption"/>
        <w:jc w:val="center"/>
        <w:rPr/>
      </w:pPr>
      <w:r>
        <w:rPr/>
      </w:r>
    </w:p>
    <w:p>
      <w:pPr>
        <w:pStyle w:val="Style84"/>
        <w:rPr/>
      </w:pPr>
      <w:r>
        <w:rPr/>
      </w:r>
    </w:p>
    <w:p>
      <w:pPr>
        <w:pStyle w:val="Style84"/>
        <w:rPr/>
      </w:pPr>
      <w:r>
        <w:rPr/>
        <w:drawing>
          <wp:inline distT="0" distB="0" distL="0" distR="0">
            <wp:extent cx="4333875" cy="2695575"/>
            <wp:effectExtent l="0" t="0" r="0" b="0"/>
            <wp:docPr id="20" name="Рисунок 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62" descr=""/>
                    <pic:cNvPicPr>
                      <a:picLocks noChangeAspect="1" noChangeArrowheads="1"/>
                    </pic:cNvPicPr>
                  </pic:nvPicPr>
                  <pic:blipFill>
                    <a:blip r:embed="rId24"/>
                    <a:stretch>
                      <a:fillRect/>
                    </a:stretch>
                  </pic:blipFill>
                  <pic:spPr bwMode="auto">
                    <a:xfrm>
                      <a:off x="0" y="0"/>
                      <a:ext cx="4333875" cy="269557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17</w:t>
      </w:r>
      <w:r>
        <w:rPr/>
        <w:fldChar w:fldCharType="end"/>
      </w:r>
      <w:r>
        <w:rPr/>
        <w:t>. Зона действия котельной ««Школа №7», ИНЗД – 15</w:t>
      </w:r>
    </w:p>
    <w:p>
      <w:pPr>
        <w:pStyle w:val="Style84"/>
        <w:keepNext w:val="true"/>
        <w:rPr/>
      </w:pPr>
      <w:r>
        <w:rPr/>
        <w:drawing>
          <wp:inline distT="0" distB="0" distL="0" distR="0">
            <wp:extent cx="5469890" cy="4495800"/>
            <wp:effectExtent l="0" t="0" r="0" b="0"/>
            <wp:docPr id="21" name="Рисунок 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63" descr=""/>
                    <pic:cNvPicPr>
                      <a:picLocks noChangeAspect="1" noChangeArrowheads="1"/>
                    </pic:cNvPicPr>
                  </pic:nvPicPr>
                  <pic:blipFill>
                    <a:blip r:embed="rId25"/>
                    <a:stretch>
                      <a:fillRect/>
                    </a:stretch>
                  </pic:blipFill>
                  <pic:spPr bwMode="auto">
                    <a:xfrm>
                      <a:off x="0" y="0"/>
                      <a:ext cx="5469890" cy="44958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18</w:t>
      </w:r>
      <w:r>
        <w:rPr/>
        <w:fldChar w:fldCharType="end"/>
      </w:r>
      <w:r>
        <w:rPr/>
        <w:t>. Зона действия котельной «Виток», ИНЗД – 16</w:t>
      </w:r>
    </w:p>
    <w:p>
      <w:pPr>
        <w:pStyle w:val="Style84"/>
        <w:keepNext w:val="true"/>
        <w:rPr/>
      </w:pPr>
      <w:r>
        <w:rPr/>
        <w:drawing>
          <wp:inline distT="0" distB="0" distL="0" distR="0">
            <wp:extent cx="6480175" cy="2735580"/>
            <wp:effectExtent l="0" t="0" r="0" b="0"/>
            <wp:docPr id="22" name="Рисунок 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65" descr=""/>
                    <pic:cNvPicPr>
                      <a:picLocks noChangeAspect="1" noChangeArrowheads="1"/>
                    </pic:cNvPicPr>
                  </pic:nvPicPr>
                  <pic:blipFill>
                    <a:blip r:embed="rId26"/>
                    <a:stretch>
                      <a:fillRect/>
                    </a:stretch>
                  </pic:blipFill>
                  <pic:spPr bwMode="auto">
                    <a:xfrm>
                      <a:off x="0" y="0"/>
                      <a:ext cx="6480175" cy="273558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19</w:t>
      </w:r>
      <w:r>
        <w:rPr/>
        <w:fldChar w:fldCharType="end"/>
      </w:r>
      <w:r>
        <w:rPr/>
        <w:t>. Зона действия котельной «УИЗ», ИНЗД – 17</w:t>
      </w:r>
    </w:p>
    <w:p>
      <w:pPr>
        <w:pStyle w:val="Caption"/>
        <w:jc w:val="center"/>
        <w:rPr/>
      </w:pPr>
      <w:r>
        <w:rPr/>
      </w:r>
    </w:p>
    <w:p>
      <w:pPr>
        <w:pStyle w:val="Style84"/>
        <w:rPr/>
      </w:pPr>
      <w:r>
        <w:rPr/>
      </w:r>
    </w:p>
    <w:p>
      <w:pPr>
        <w:pStyle w:val="Style84"/>
        <w:rPr/>
      </w:pPr>
      <w:r>
        <w:rPr/>
        <w:drawing>
          <wp:inline distT="0" distB="0" distL="0" distR="0">
            <wp:extent cx="2510790" cy="3874770"/>
            <wp:effectExtent l="0" t="0" r="0" b="0"/>
            <wp:docPr id="23" name="Рисунок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8" descr=""/>
                    <pic:cNvPicPr>
                      <a:picLocks noChangeAspect="1" noChangeArrowheads="1"/>
                    </pic:cNvPicPr>
                  </pic:nvPicPr>
                  <pic:blipFill>
                    <a:blip r:embed="rId27"/>
                    <a:stretch>
                      <a:fillRect/>
                    </a:stretch>
                  </pic:blipFill>
                  <pic:spPr bwMode="auto">
                    <a:xfrm>
                      <a:off x="0" y="0"/>
                      <a:ext cx="2510790" cy="387477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20</w:t>
      </w:r>
      <w:r>
        <w:rPr/>
        <w:fldChar w:fldCharType="end"/>
      </w:r>
      <w:r>
        <w:rPr/>
        <w:t>. Зона действия котельной «Инженерный центр», ИНЗД – 18</w:t>
      </w:r>
    </w:p>
    <w:p>
      <w:pPr>
        <w:pStyle w:val="Style84"/>
        <w:rPr>
          <w:lang w:val="en-US"/>
        </w:rPr>
      </w:pPr>
      <w:r>
        <w:rPr/>
        <w:drawing>
          <wp:inline distT="0" distB="0" distL="0" distR="0">
            <wp:extent cx="4904740" cy="4394200"/>
            <wp:effectExtent l="0" t="0" r="0" b="0"/>
            <wp:docPr id="24" name="Рисунок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66" descr=""/>
                    <pic:cNvPicPr>
                      <a:picLocks noChangeAspect="1" noChangeArrowheads="1"/>
                    </pic:cNvPicPr>
                  </pic:nvPicPr>
                  <pic:blipFill>
                    <a:blip r:embed="rId28"/>
                    <a:stretch>
                      <a:fillRect/>
                    </a:stretch>
                  </pic:blipFill>
                  <pic:spPr bwMode="auto">
                    <a:xfrm>
                      <a:off x="0" y="0"/>
                      <a:ext cx="4904740" cy="43942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21</w:t>
      </w:r>
      <w:r>
        <w:rPr/>
        <w:fldChar w:fldCharType="end"/>
      </w:r>
      <w:r>
        <w:rPr/>
        <w:t>. Зона действия котельной «КГТТ», ИНЗД – 19</w:t>
      </w:r>
    </w:p>
    <w:p>
      <w:pPr>
        <w:pStyle w:val="Style84"/>
        <w:keepNext w:val="true"/>
        <w:rPr/>
      </w:pPr>
      <w:r>
        <w:rPr/>
        <w:drawing>
          <wp:inline distT="0" distB="0" distL="0" distR="0">
            <wp:extent cx="2457450" cy="2857500"/>
            <wp:effectExtent l="0" t="0" r="0" b="0"/>
            <wp:docPr id="25" name="Рисунок 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67" descr=""/>
                    <pic:cNvPicPr>
                      <a:picLocks noChangeAspect="1" noChangeArrowheads="1"/>
                    </pic:cNvPicPr>
                  </pic:nvPicPr>
                  <pic:blipFill>
                    <a:blip r:embed="rId29"/>
                    <a:stretch>
                      <a:fillRect/>
                    </a:stretch>
                  </pic:blipFill>
                  <pic:spPr bwMode="auto">
                    <a:xfrm>
                      <a:off x="0" y="0"/>
                      <a:ext cx="2457450" cy="28575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22</w:t>
      </w:r>
      <w:r>
        <w:rPr/>
        <w:fldChar w:fldCharType="end"/>
      </w:r>
      <w:r>
        <w:rPr/>
        <w:t>. Зона действия котельной «КЭЧ», ИНЗД – 20</w:t>
      </w:r>
    </w:p>
    <w:p>
      <w:pPr>
        <w:pStyle w:val="Style84"/>
        <w:rPr/>
      </w:pPr>
      <w:r>
        <w:rPr/>
        <w:drawing>
          <wp:inline distT="0" distB="0" distL="0" distR="0">
            <wp:extent cx="4411345" cy="4471670"/>
            <wp:effectExtent l="0" t="0" r="0" b="0"/>
            <wp:docPr id="2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0" descr=""/>
                    <pic:cNvPicPr>
                      <a:picLocks noChangeAspect="1" noChangeArrowheads="1"/>
                    </pic:cNvPicPr>
                  </pic:nvPicPr>
                  <pic:blipFill>
                    <a:blip r:embed="rId30"/>
                    <a:stretch>
                      <a:fillRect/>
                    </a:stretch>
                  </pic:blipFill>
                  <pic:spPr bwMode="auto">
                    <a:xfrm>
                      <a:off x="0" y="0"/>
                      <a:ext cx="4411345" cy="447167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23</w:t>
      </w:r>
      <w:r>
        <w:rPr/>
        <w:fldChar w:fldCharType="end"/>
      </w:r>
      <w:r>
        <w:rPr/>
        <w:t>. Зона действия котельной «Сельэнерго», ИНЗД – 21</w:t>
      </w:r>
    </w:p>
    <w:p>
      <w:pPr>
        <w:pStyle w:val="Style84"/>
        <w:rPr/>
      </w:pPr>
      <w:r>
        <w:rPr/>
        <w:drawing>
          <wp:inline distT="0" distB="0" distL="0" distR="0">
            <wp:extent cx="3600450" cy="3609975"/>
            <wp:effectExtent l="0" t="0" r="0" b="0"/>
            <wp:docPr id="27"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3" descr=""/>
                    <pic:cNvPicPr>
                      <a:picLocks noChangeAspect="1" noChangeArrowheads="1"/>
                    </pic:cNvPicPr>
                  </pic:nvPicPr>
                  <pic:blipFill>
                    <a:blip r:embed="rId31"/>
                    <a:stretch>
                      <a:fillRect/>
                    </a:stretch>
                  </pic:blipFill>
                  <pic:spPr bwMode="auto">
                    <a:xfrm>
                      <a:off x="0" y="0"/>
                      <a:ext cx="3600450" cy="3609975"/>
                    </a:xfrm>
                    <a:prstGeom prst="rect">
                      <a:avLst/>
                    </a:prstGeom>
                  </pic:spPr>
                </pic:pic>
              </a:graphicData>
            </a:graphic>
          </wp:inline>
        </w:drawing>
      </w:r>
    </w:p>
    <w:p>
      <w:pPr>
        <w:pStyle w:val="Style84"/>
        <w:rPr/>
      </w:pPr>
      <w:bookmarkStart w:id="86" w:name="_Ref7181293"/>
      <w:r>
        <w:rPr/>
        <w:t xml:space="preserve">Рисунок </w:t>
      </w:r>
      <w:r>
        <w:rPr/>
        <w:fldChar w:fldCharType="begin"/>
      </w:r>
      <w:r>
        <w:rPr/>
        <w:instrText> SEQ Рисунок \* ARABIC </w:instrText>
      </w:r>
      <w:r>
        <w:rPr/>
        <w:fldChar w:fldCharType="separate"/>
      </w:r>
      <w:r>
        <w:rPr/>
        <w:t>24</w:t>
      </w:r>
      <w:r>
        <w:rPr/>
        <w:fldChar w:fldCharType="end"/>
      </w:r>
      <w:bookmarkEnd w:id="86"/>
      <w:r>
        <w:rPr/>
        <w:t>. Зона действия котельной ««Агроспецмонтаж», ИНЗД – 22</w:t>
      </w:r>
    </w:p>
    <w:p>
      <w:pPr>
        <w:pStyle w:val="Style84"/>
        <w:keepNext w:val="true"/>
        <w:rPr/>
      </w:pPr>
      <w:r>
        <w:rPr/>
        <w:drawing>
          <wp:inline distT="0" distB="0" distL="0" distR="0">
            <wp:extent cx="4219575" cy="2619375"/>
            <wp:effectExtent l="0" t="0" r="0" b="0"/>
            <wp:docPr id="28" name="Рисунок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69" descr=""/>
                    <pic:cNvPicPr>
                      <a:picLocks noChangeAspect="1" noChangeArrowheads="1"/>
                    </pic:cNvPicPr>
                  </pic:nvPicPr>
                  <pic:blipFill>
                    <a:blip r:embed="rId32"/>
                    <a:stretch>
                      <a:fillRect/>
                    </a:stretch>
                  </pic:blipFill>
                  <pic:spPr bwMode="auto">
                    <a:xfrm>
                      <a:off x="0" y="0"/>
                      <a:ext cx="4219575" cy="261937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25</w:t>
      </w:r>
      <w:r>
        <w:rPr/>
        <w:fldChar w:fldCharType="end"/>
      </w:r>
      <w:r>
        <w:rPr/>
        <w:t>. Зона действия котельной «ПДУ», ИНЗД – 23</w:t>
      </w:r>
    </w:p>
    <w:p>
      <w:pPr>
        <w:pStyle w:val="Style84"/>
        <w:keepNext w:val="true"/>
        <w:rPr/>
      </w:pPr>
      <w:r>
        <w:rPr/>
        <w:drawing>
          <wp:inline distT="0" distB="0" distL="0" distR="0">
            <wp:extent cx="4972050" cy="2628900"/>
            <wp:effectExtent l="0" t="0" r="0" b="0"/>
            <wp:docPr id="29" name="Рисунок 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70" descr=""/>
                    <pic:cNvPicPr>
                      <a:picLocks noChangeAspect="1" noChangeArrowheads="1"/>
                    </pic:cNvPicPr>
                  </pic:nvPicPr>
                  <pic:blipFill>
                    <a:blip r:embed="rId33"/>
                    <a:stretch>
                      <a:fillRect/>
                    </a:stretch>
                  </pic:blipFill>
                  <pic:spPr bwMode="auto">
                    <a:xfrm>
                      <a:off x="0" y="0"/>
                      <a:ext cx="4972050" cy="262890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26</w:t>
      </w:r>
      <w:r>
        <w:rPr/>
        <w:fldChar w:fldCharType="end"/>
      </w:r>
      <w:r>
        <w:rPr/>
        <w:t>. Зона действия котельной ЛТЦ, ИНЗД – 24</w:t>
      </w:r>
    </w:p>
    <w:p>
      <w:pPr>
        <w:pStyle w:val="Style84"/>
        <w:keepNext w:val="true"/>
        <w:rPr/>
      </w:pPr>
      <w:r>
        <w:rPr/>
        <w:drawing>
          <wp:inline distT="0" distB="0" distL="0" distR="0">
            <wp:extent cx="2625090" cy="3580765"/>
            <wp:effectExtent l="0" t="0" r="0" b="0"/>
            <wp:docPr id="30"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2" descr=""/>
                    <pic:cNvPicPr>
                      <a:picLocks noChangeAspect="1" noChangeArrowheads="1"/>
                    </pic:cNvPicPr>
                  </pic:nvPicPr>
                  <pic:blipFill>
                    <a:blip r:embed="rId34"/>
                    <a:stretch>
                      <a:fillRect/>
                    </a:stretch>
                  </pic:blipFill>
                  <pic:spPr bwMode="auto">
                    <a:xfrm>
                      <a:off x="0" y="0"/>
                      <a:ext cx="2625090" cy="358076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27</w:t>
      </w:r>
      <w:r>
        <w:rPr/>
        <w:fldChar w:fldCharType="end"/>
      </w:r>
      <w:r>
        <w:rPr/>
        <w:t>. Зона действия котельной «Пригородный», ИНЗД – 25</w:t>
      </w:r>
    </w:p>
    <w:p>
      <w:pPr>
        <w:pStyle w:val="Style84"/>
        <w:keepNext w:val="true"/>
        <w:rPr/>
      </w:pPr>
      <w:r>
        <w:rPr/>
        <w:drawing>
          <wp:inline distT="0" distB="0" distL="0" distR="0">
            <wp:extent cx="3559810" cy="4074160"/>
            <wp:effectExtent l="0" t="0" r="0" b="0"/>
            <wp:docPr id="31" name="Рисунок 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52" descr=""/>
                    <pic:cNvPicPr>
                      <a:picLocks noChangeAspect="1" noChangeArrowheads="1"/>
                    </pic:cNvPicPr>
                  </pic:nvPicPr>
                  <pic:blipFill>
                    <a:blip r:embed="rId35"/>
                    <a:stretch>
                      <a:fillRect/>
                    </a:stretch>
                  </pic:blipFill>
                  <pic:spPr bwMode="auto">
                    <a:xfrm>
                      <a:off x="0" y="0"/>
                      <a:ext cx="3559810" cy="4074160"/>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28</w:t>
      </w:r>
      <w:r>
        <w:rPr/>
        <w:fldChar w:fldCharType="end"/>
      </w:r>
      <w:r>
        <w:rPr/>
        <w:t>. Зона действия котельной «Городская баня», ИНЗД – 26</w:t>
      </w:r>
    </w:p>
    <w:p>
      <w:pPr>
        <w:pStyle w:val="A1"/>
        <w:rPr/>
      </w:pPr>
      <w:r>
        <w:rPr/>
        <w:t>Существующие</w:t>
      </w:r>
      <w:r>
        <w:rPr>
          <w:spacing w:val="16"/>
        </w:rPr>
        <w:t xml:space="preserve"> </w:t>
      </w:r>
      <w:r>
        <w:rPr/>
        <w:t>балансы</w:t>
      </w:r>
      <w:r>
        <w:rPr>
          <w:spacing w:val="16"/>
        </w:rPr>
        <w:t xml:space="preserve"> </w:t>
      </w:r>
      <w:r>
        <w:rPr/>
        <w:t>тепловой</w:t>
      </w:r>
      <w:r>
        <w:rPr>
          <w:spacing w:val="17"/>
        </w:rPr>
        <w:t xml:space="preserve"> </w:t>
      </w:r>
      <w:r>
        <w:rPr/>
        <w:t>мощности</w:t>
      </w:r>
      <w:r>
        <w:rPr>
          <w:spacing w:val="76"/>
        </w:rPr>
        <w:t xml:space="preserve"> </w:t>
      </w:r>
      <w:r>
        <w:rPr/>
        <w:t>оборудования</w:t>
      </w:r>
      <w:r>
        <w:rPr>
          <w:spacing w:val="11"/>
        </w:rPr>
        <w:t xml:space="preserve"> </w:t>
      </w:r>
      <w:r>
        <w:rPr/>
        <w:t>источников</w:t>
      </w:r>
      <w:r>
        <w:rPr>
          <w:spacing w:val="11"/>
        </w:rPr>
        <w:t xml:space="preserve"> </w:t>
      </w:r>
      <w:r>
        <w:rPr/>
        <w:t>тепловой</w:t>
      </w:r>
      <w:r>
        <w:rPr>
          <w:spacing w:val="10"/>
        </w:rPr>
        <w:t xml:space="preserve"> </w:t>
      </w:r>
      <w:r>
        <w:rPr/>
        <w:t>энергии</w:t>
      </w:r>
      <w:r>
        <w:rPr>
          <w:spacing w:val="10"/>
        </w:rPr>
        <w:t xml:space="preserve"> </w:t>
      </w:r>
      <w:r>
        <w:rPr/>
        <w:t>и</w:t>
      </w:r>
      <w:r>
        <w:rPr>
          <w:spacing w:val="10"/>
        </w:rPr>
        <w:t xml:space="preserve"> </w:t>
      </w:r>
      <w:r>
        <w:rPr/>
        <w:t>присоединенной</w:t>
      </w:r>
      <w:r>
        <w:rPr>
          <w:spacing w:val="10"/>
        </w:rPr>
        <w:t xml:space="preserve"> </w:t>
      </w:r>
      <w:r>
        <w:rPr/>
        <w:t>тепловой</w:t>
      </w:r>
      <w:r>
        <w:rPr>
          <w:spacing w:val="10"/>
        </w:rPr>
        <w:t xml:space="preserve"> </w:t>
      </w:r>
      <w:r>
        <w:rPr/>
        <w:t>нагрузки</w:t>
      </w:r>
      <w:r>
        <w:rPr>
          <w:spacing w:val="12"/>
        </w:rPr>
        <w:t xml:space="preserve"> </w:t>
      </w:r>
      <w:r>
        <w:rPr/>
        <w:t>в</w:t>
      </w:r>
      <w:r>
        <w:rPr>
          <w:spacing w:val="11"/>
        </w:rPr>
        <w:t xml:space="preserve"> </w:t>
      </w:r>
      <w:r>
        <w:rPr/>
        <w:t>зонах</w:t>
      </w:r>
      <w:r>
        <w:rPr>
          <w:spacing w:val="89"/>
        </w:rPr>
        <w:t xml:space="preserve"> </w:t>
      </w:r>
      <w:r>
        <w:rPr/>
        <w:t>действия</w:t>
      </w:r>
      <w:r>
        <w:rPr>
          <w:spacing w:val="47"/>
        </w:rPr>
        <w:t xml:space="preserve"> </w:t>
      </w:r>
      <w:r>
        <w:rPr/>
        <w:t>источников</w:t>
      </w:r>
      <w:r>
        <w:rPr>
          <w:spacing w:val="44"/>
        </w:rPr>
        <w:t xml:space="preserve"> </w:t>
      </w:r>
      <w:r>
        <w:rPr/>
        <w:t>тепловой</w:t>
      </w:r>
      <w:r>
        <w:rPr>
          <w:spacing w:val="48"/>
        </w:rPr>
        <w:t xml:space="preserve"> </w:t>
      </w:r>
      <w:r>
        <w:rPr/>
        <w:t>энергии Камышловского городского округа представлены в разделе 6 главы 1 настоящего документа.</w:t>
      </w:r>
    </w:p>
    <w:p>
      <w:pPr>
        <w:sectPr>
          <w:headerReference w:type="default" r:id="rId36"/>
          <w:footerReference w:type="default" r:id="rId37"/>
          <w:type w:val="nextPage"/>
          <w:pgSz w:w="11906" w:h="16838"/>
          <w:pgMar w:left="1134" w:right="567" w:header="1134" w:top="1693" w:footer="0" w:bottom="1134" w:gutter="0"/>
          <w:pgNumType w:fmt="decimal"/>
          <w:formProt w:val="false"/>
          <w:textDirection w:val="lrTb"/>
          <w:docGrid w:type="default" w:linePitch="360" w:charSpace="0"/>
        </w:sectPr>
        <w:pStyle w:val="A1"/>
        <w:rPr/>
      </w:pPr>
      <w:r>
        <w:rPr/>
        <w:t xml:space="preserve">В установленных зонах действия источников тепловой энергии определены перспективные тепловые нагрузки в соответствии с данными, представленными в главе 2 настоящего документа. Динамика изменения договорной нагрузки приведена в таблице </w:t>
      </w:r>
      <w:r>
        <w:rPr/>
        <w:fldChar w:fldCharType="begin"/>
      </w:r>
      <w:r>
        <w:rPr/>
        <w:instrText> REF _Ref533007729 \h </w:instrText>
      </w:r>
      <w:r>
        <w:rPr/>
        <w:fldChar w:fldCharType="separate"/>
      </w:r>
      <w:r>
        <w:rPr/>
        <w:t>Таблица 8</w:t>
      </w:r>
      <w:r>
        <w:rPr/>
        <w:fldChar w:fldCharType="end"/>
      </w:r>
      <w:r>
        <w:rPr/>
        <w:t xml:space="preserve">. Балансы тепловой энергии и перспективной тепловой нагрузки в каждой из выделенных зон действия источников тепловой энергии Камышловского городского округа представлены в таблице </w:t>
      </w:r>
      <w:r>
        <w:rPr/>
        <w:fldChar w:fldCharType="begin"/>
      </w:r>
      <w:r>
        <w:rPr/>
        <w:instrText> REF _Ref8034348 \h </w:instrText>
      </w:r>
      <w:r>
        <w:rPr/>
        <w:fldChar w:fldCharType="separate"/>
      </w:r>
      <w:r>
        <w:rPr/>
        <w:t>Таблица 9</w:t>
      </w:r>
      <w:r>
        <w:rPr/>
        <w:fldChar w:fldCharType="end"/>
      </w:r>
      <w:r>
        <w:rPr/>
        <w:t>.</w:t>
      </w:r>
    </w:p>
    <w:p>
      <w:pPr>
        <w:pStyle w:val="Style119"/>
        <w:ind w:right="253" w:firstLine="567"/>
        <w:rPr/>
      </w:pPr>
      <w:bookmarkStart w:id="87" w:name="_Ref533007729"/>
      <w:r>
        <w:rPr/>
        <w:t xml:space="preserve">Таблица </w:t>
      </w:r>
      <w:r>
        <w:rPr/>
        <w:fldChar w:fldCharType="begin"/>
      </w:r>
      <w:r>
        <w:rPr/>
        <w:instrText> SEQ Таблица \* ARABIC </w:instrText>
      </w:r>
      <w:r>
        <w:rPr/>
        <w:fldChar w:fldCharType="separate"/>
      </w:r>
      <w:r>
        <w:rPr/>
        <w:t>8</w:t>
      </w:r>
      <w:r>
        <w:rPr/>
        <w:fldChar w:fldCharType="end"/>
      </w:r>
      <w:bookmarkEnd w:id="87"/>
      <w:r>
        <w:rPr/>
        <w:t>. Динамика изменения тепловой нагрузки</w:t>
      </w:r>
    </w:p>
    <w:tbl>
      <w:tblPr>
        <w:tblW w:w="15415" w:type="dxa"/>
        <w:jc w:val="left"/>
        <w:tblInd w:w="-289" w:type="dxa"/>
        <w:tblCellMar>
          <w:top w:w="0" w:type="dxa"/>
          <w:left w:w="108" w:type="dxa"/>
          <w:bottom w:w="0" w:type="dxa"/>
          <w:right w:w="108" w:type="dxa"/>
        </w:tblCellMar>
        <w:tblLook w:firstRow="1" w:noVBand="1" w:lastRow="0" w:firstColumn="1" w:lastColumn="0" w:noHBand="0" w:val="04a0"/>
      </w:tblPr>
      <w:tblGrid>
        <w:gridCol w:w="558"/>
        <w:gridCol w:w="3554"/>
        <w:gridCol w:w="2838"/>
        <w:gridCol w:w="1210"/>
        <w:gridCol w:w="1210"/>
        <w:gridCol w:w="1210"/>
        <w:gridCol w:w="1210"/>
        <w:gridCol w:w="1217"/>
        <w:gridCol w:w="1210"/>
        <w:gridCol w:w="1196"/>
      </w:tblGrid>
      <w:tr>
        <w:trPr>
          <w:tblHeader w:val="true"/>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п/п</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Объекты</w:t>
            </w:r>
          </w:p>
        </w:tc>
        <w:tc>
          <w:tcPr>
            <w:tcW w:w="283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Категория потребления</w:t>
            </w:r>
          </w:p>
        </w:tc>
        <w:tc>
          <w:tcPr>
            <w:tcW w:w="8463"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Подключенная нагрузка, Гкал/ч</w:t>
            </w:r>
          </w:p>
        </w:tc>
      </w:tr>
      <w:tr>
        <w:trPr>
          <w:tblHeader w:val="true"/>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2025-2030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2031-2036</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«Пролетарская»</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11,906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12,277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12,149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12,020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9,661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10,032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9,904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9,775</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1,914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«Железнодорожная»</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6,266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6,549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6,481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6,413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4,006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4,006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4,006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4,180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4,232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4,165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4,097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1,689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1,689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1,689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1,540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1,770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«К.Либкнехта 28»</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«Стадион» / </w:t>
              <w:br/>
              <w:t>БМК «Стадион»</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1,761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3,892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3,854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5,473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6,743</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6,743</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2,669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2,631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3,379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4,649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4,649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1,571</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1,571</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0,420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0,420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0,420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0,420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0,524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0,524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0,524</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«ЗСМ»</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9,514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9,412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9,636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7,907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7,804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8,132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8,029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«Р. Люксембург»</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3,032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3,032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3,334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3,334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2,877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2,877</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2,877</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0,278</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«Константиновка»</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2,292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2,292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2,292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2,292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6,754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6,754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6,754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0,094</w:t>
            </w:r>
          </w:p>
        </w:tc>
      </w:tr>
      <w:tr>
        <w:trPr>
          <w:trHeight w:val="40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«КГТТ»</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2,513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2,513</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2,513</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0,757</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0,757</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1,476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1,756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1,756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1,756</w:t>
            </w:r>
          </w:p>
        </w:tc>
      </w:tr>
      <w:tr>
        <w:trPr>
          <w:trHeight w:val="357"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«ПЛ-16»</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№1»</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0,418</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«ОВД»</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0,235</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406"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№7»</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r>
      <w:tr>
        <w:trPr>
          <w:trHeight w:val="335"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№58»</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0,251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0,251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0,251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0,251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93"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«Орбита»</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65"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«Инженерный центр»</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2,117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2,117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2,447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2,447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1,171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1,301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1,301</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0,823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95"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«Плодопитомник»</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96"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«Сельэнерго»</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75"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«Агроспецмонтаж»</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35"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«ПДУ»</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«Пригородный» / </w:t>
              <w:br/>
              <w:t>БМК «Пригородный»</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424"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«КЭЧ»</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27"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«Виток» / </w:t>
              <w:br/>
              <w:t xml:space="preserve">БМК «Виток» </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«Гор.баня»</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0,706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0,082</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БМК УИЗ</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1,836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1,486</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ЛТЦ /</w:t>
              <w:br/>
              <w:t xml:space="preserve"> БМК ЛТЦ</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0,517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0,831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0,831</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0,831</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0,489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0,489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0,489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0,330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ЖКС № 1/1 (наименование в/ч -филиал № 2 ФГКУ "354 ВКГ)</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0,416</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462"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ЖКС № 1/1 (наименование в/ч 75485)</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0,898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0,649</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0,670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37"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ОАО «РЖД»</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0,922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0,922</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0,922</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0,922</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0,922</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39"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29</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Горького 15</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4,787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5,067</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5,067</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3,641</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3,781</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3,781</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0,823</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0,823</w:t>
            </w:r>
          </w:p>
        </w:tc>
      </w:tr>
      <w:tr>
        <w:trPr>
          <w:trHeight w:val="327"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0,323</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0,463</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0,463</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Загородная</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8,127</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8,127</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8,127</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0,368</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1,239</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31</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Боровая</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1,074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1,074</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14,374</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14,374</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14,374</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5,800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5,800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5,800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4,300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4,300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4,300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Западная часть</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1,358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1,358</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1,358</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котельная Свердлова 49</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w:t>
            </w:r>
          </w:p>
        </w:tc>
        <w:tc>
          <w:tcPr>
            <w:tcW w:w="355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Восточная часть</w:t>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Всего</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6,750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Население</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Бюджетные организации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1,600</w:t>
            </w:r>
          </w:p>
        </w:tc>
      </w:tr>
      <w:tr>
        <w:trPr>
          <w:trHeight w:val="20" w:hRule="atLeast"/>
        </w:trPr>
        <w:tc>
          <w:tcPr>
            <w:tcW w:w="5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Прочие потребители</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21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9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2,750</w:t>
            </w:r>
          </w:p>
        </w:tc>
      </w:tr>
    </w:tbl>
    <w:p>
      <w:pPr>
        <w:pStyle w:val="Style119"/>
        <w:ind w:right="253" w:hanging="0"/>
        <w:rPr/>
      </w:pPr>
      <w:r>
        <w:rPr/>
      </w:r>
      <w:r>
        <w:br w:type="page"/>
      </w:r>
    </w:p>
    <w:p>
      <w:pPr>
        <w:pStyle w:val="Style85"/>
        <w:rPr/>
      </w:pPr>
      <w:bookmarkStart w:id="88" w:name="_Ref8034348"/>
      <w:bookmarkStart w:id="89" w:name="_Ref500943829"/>
      <w:bookmarkStart w:id="90" w:name="_Ref437266613"/>
      <w:r>
        <w:rPr/>
        <w:t xml:space="preserve">Таблица </w:t>
      </w:r>
      <w:r>
        <w:rPr/>
        <w:fldChar w:fldCharType="begin"/>
      </w:r>
      <w:r>
        <w:rPr/>
        <w:instrText> SEQ Таблица \* ARABIC </w:instrText>
      </w:r>
      <w:r>
        <w:rPr/>
        <w:fldChar w:fldCharType="separate"/>
      </w:r>
      <w:r>
        <w:rPr/>
        <w:t>9</w:t>
      </w:r>
      <w:r>
        <w:rPr/>
        <w:fldChar w:fldCharType="end"/>
      </w:r>
      <w:bookmarkEnd w:id="88"/>
      <w:bookmarkEnd w:id="89"/>
      <w:bookmarkEnd w:id="90"/>
      <w:r>
        <w:rPr/>
        <w:t>. Перспективные балансы тепловой мощности и тепловой нагрузки</w:t>
      </w:r>
    </w:p>
    <w:tbl>
      <w:tblPr>
        <w:tblW w:w="5000" w:type="pct"/>
        <w:jc w:val="left"/>
        <w:tblInd w:w="-289" w:type="dxa"/>
        <w:tblCellMar>
          <w:top w:w="0" w:type="dxa"/>
          <w:left w:w="108" w:type="dxa"/>
          <w:bottom w:w="0" w:type="dxa"/>
          <w:right w:w="108" w:type="dxa"/>
        </w:tblCellMar>
        <w:tblLook w:firstRow="1" w:noVBand="1" w:lastRow="0" w:firstColumn="1" w:lastColumn="0" w:noHBand="0" w:val="04a0"/>
      </w:tblPr>
      <w:tblGrid>
        <w:gridCol w:w="520"/>
        <w:gridCol w:w="2475"/>
        <w:gridCol w:w="3524"/>
        <w:gridCol w:w="1159"/>
        <w:gridCol w:w="1151"/>
        <w:gridCol w:w="1151"/>
        <w:gridCol w:w="1149"/>
        <w:gridCol w:w="1157"/>
        <w:gridCol w:w="1151"/>
        <w:gridCol w:w="1131"/>
      </w:tblGrid>
      <w:tr>
        <w:trPr>
          <w:tblHeader w:val="true"/>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п/п</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Объекты</w:t>
            </w:r>
          </w:p>
        </w:tc>
        <w:tc>
          <w:tcPr>
            <w:tcW w:w="3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Категория потребления</w:t>
            </w:r>
          </w:p>
        </w:tc>
        <w:tc>
          <w:tcPr>
            <w:tcW w:w="8049"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Баланс тепловой мощности, Гкал/ч</w:t>
            </w:r>
          </w:p>
        </w:tc>
      </w:tr>
      <w:tr>
        <w:trPr>
          <w:tblHeader w:val="true"/>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2022,000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2025-2030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2031-2036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w:t>
              <w:br/>
              <w:t>«Пролетарская»</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38,400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38,400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11,906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12,410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1,492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1,492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1,462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8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12,142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11,326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11,213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11,243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«Железнодорожная»</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0,148</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6,266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7,140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7,140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7,140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4,920</w:t>
            </w:r>
          </w:p>
        </w:tc>
      </w:tr>
      <w:tr>
        <w:trPr>
          <w:trHeight w:val="351"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0,953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0,934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0,915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0,897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0,861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0,844</w:t>
            </w:r>
          </w:p>
        </w:tc>
      </w:tr>
      <w:tr>
        <w:trPr>
          <w:trHeight w:val="511"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12,764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11,712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11,731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11,749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14,177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14,195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14,088</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w:t>
              <w:br/>
              <w:t>«К.Либкнехта 28»</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0,029</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r>
      <w:tr>
        <w:trPr>
          <w:trHeight w:val="34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«Стадион» / БМК «Стадион»</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4,930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0,148</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1,761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2,150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2,150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4,930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0,133</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0,130</w:t>
            </w:r>
          </w:p>
        </w:tc>
      </w:tr>
      <w:tr>
        <w:trPr>
          <w:trHeight w:val="32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0,249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-0,199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-0,196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-0,193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-1,745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-3,051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-3,048</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«ЗСМ»</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9,514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9,412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9,636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0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9,913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9,751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9,415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9,522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w:t>
              <w:br/>
              <w:t>«Р. Люксембург»</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3,440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3,440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3,440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3,032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3,032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3,334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3,334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3,804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0,263</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0,258</w:t>
            </w:r>
          </w:p>
        </w:tc>
      </w:tr>
      <w:tr>
        <w:trPr>
          <w:trHeight w:val="27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1,476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1,392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1,087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1,092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0,613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0,619</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0,624</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«Константиновка»</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6,400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0,206</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2,407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6,869</w:t>
            </w:r>
          </w:p>
        </w:tc>
      </w:tr>
      <w:tr>
        <w:trPr>
          <w:trHeight w:val="359"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0,275</w:t>
            </w:r>
          </w:p>
        </w:tc>
      </w:tr>
      <w:tr>
        <w:trPr>
          <w:trHeight w:val="406"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3,681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3,623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3,629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-0,961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-0,956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-0,950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«КГТТ»</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1,935</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0,007</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1,953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2,230</w:t>
            </w:r>
          </w:p>
        </w:tc>
      </w:tr>
      <w:tr>
        <w:trPr>
          <w:trHeight w:val="371"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0,069</w:t>
            </w:r>
          </w:p>
        </w:tc>
      </w:tr>
      <w:tr>
        <w:trPr>
          <w:trHeight w:val="38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-0,370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«ПЛ-16»</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2,212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84"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6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1,879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1,872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1,868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1,868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№1»</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0,575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0,575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41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46"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0,240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«ОВД»</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93"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r>
      <w:tr>
        <w:trPr>
          <w:trHeight w:val="412"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0,597</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№7»</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0,146</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406"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№58»</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46"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8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«Орбита»</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2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0,042</w:t>
            </w:r>
          </w:p>
        </w:tc>
      </w:tr>
      <w:tr>
        <w:trPr>
          <w:trHeight w:val="36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0,442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0,638</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w:t>
              <w:br/>
              <w:t>«Инженерный центр»</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2,447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2,447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3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0,202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34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-0,567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-0,563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2,160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«Плодопитомник»</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0,021</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0,876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412"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-0,735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-0,735</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«Сельэнерго»</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54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-0,004</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«Агроспецмонтаж»</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0,542</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0,056</w:t>
            </w:r>
          </w:p>
        </w:tc>
      </w:tr>
      <w:tr>
        <w:trPr>
          <w:trHeight w:val="52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0,413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0,406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«ПДУ»</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r>
      <w:tr>
        <w:trPr>
          <w:trHeight w:val="50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0,619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0,622</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«Пригородный» / БМК «Пригородный»</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0,009</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0,078</w:t>
            </w:r>
          </w:p>
        </w:tc>
      </w:tr>
      <w:tr>
        <w:trPr>
          <w:trHeight w:val="345"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0,639</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«КЭЧ»</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0,273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0,313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0,595</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«Виток» /</w:t>
              <w:br/>
              <w:t xml:space="preserve"> БМК «Виток» </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0,600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0,185</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0,014</w:t>
            </w:r>
          </w:p>
        </w:tc>
      </w:tr>
      <w:tr>
        <w:trPr>
          <w:trHeight w:val="54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0,395</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«Гор.баня»</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0,788</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0,035</w:t>
            </w:r>
          </w:p>
        </w:tc>
      </w:tr>
      <w:tr>
        <w:trPr>
          <w:trHeight w:val="52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0,171</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0,173</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ЛТЦ</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0,280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0,187</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0,717</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0,061</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0,056</w:t>
            </w:r>
          </w:p>
        </w:tc>
      </w:tr>
      <w:tr>
        <w:trPr>
          <w:trHeight w:val="50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БМК УИЗ</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6,090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0,167</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5,580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0,127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0,125</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0,122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0,115</w:t>
            </w:r>
          </w:p>
        </w:tc>
      </w:tr>
      <w:tr>
        <w:trPr>
          <w:trHeight w:val="48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1,415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1,328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1,330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1,333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1,335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1,337</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0,227</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ЖКС № 1/1 (наименование в/ч -филиал № 2 ФГКУ "354 ВКГ)</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0,770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0,770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0,770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0,770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0,019</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0,019</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2,559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2,538</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2,538</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ЖКС № 1/1 (наименование в/ч 75485)</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0,023</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0,766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0,077</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0,075</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0,071</w:t>
            </w:r>
          </w:p>
        </w:tc>
      </w:tr>
      <w:tr>
        <w:trPr>
          <w:trHeight w:val="548"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1,236</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2,026</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2,029</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ОАО «РЖД»</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0,800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0,224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0,022</w:t>
            </w:r>
          </w:p>
        </w:tc>
      </w:tr>
      <w:tr>
        <w:trPr>
          <w:trHeight w:val="52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0,530</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29</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Горького 15</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7,740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0,232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0,143</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0,143</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4,780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4,780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4,780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0,478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0,468</w:t>
            </w:r>
          </w:p>
        </w:tc>
      </w:tr>
      <w:tr>
        <w:trPr>
          <w:trHeight w:val="50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2,339</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2,348</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Загородная</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10,300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10,300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10,300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10,300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0,103</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0,292</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9,734</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0,309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0,450</w:t>
            </w:r>
          </w:p>
        </w:tc>
      </w:tr>
      <w:tr>
        <w:trPr>
          <w:trHeight w:val="487"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0,154</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4,524</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31</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Боровая</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13,290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10,750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10,750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0,399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0,323</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0,323</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1,161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3,778</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3,778</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Новая БМК </w:t>
              <w:br/>
              <w:t>Западная часть</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0,105</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0,105</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0,105</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0,012</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0,011</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-0,217</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-0,216</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-0,216</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Новая котельная </w:t>
              <w:br/>
              <w:t>Свердлова 49</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0,500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0,041</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0,011</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1,358</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0,350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0,011</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0,010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-1,399</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0,090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0,129</w:t>
            </w:r>
          </w:p>
        </w:tc>
      </w:tr>
      <w:tr>
        <w:trPr>
          <w:trHeight w:val="20" w:hRule="atLeast"/>
        </w:trPr>
        <w:tc>
          <w:tcPr>
            <w:tcW w:w="5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w:t>
            </w:r>
          </w:p>
        </w:tc>
        <w:tc>
          <w:tcPr>
            <w:tcW w:w="24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Новая БМК </w:t>
              <w:br/>
              <w:t>Восточная часть</w:t>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Установленная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Располагаемая мощность</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7,000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Собственные технологические нужды</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0,177</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Договорная нагрузка</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5,900</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Потери через изоляцию и с утечками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0,177</w:t>
            </w:r>
          </w:p>
        </w:tc>
      </w:tr>
      <w:tr>
        <w:trPr>
          <w:trHeight w:val="20" w:hRule="atLeast"/>
        </w:trPr>
        <w:tc>
          <w:tcPr>
            <w:tcW w:w="5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4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35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Резерв/дефицит мощности</w:t>
            </w:r>
          </w:p>
        </w:tc>
        <w:tc>
          <w:tcPr>
            <w:tcW w:w="115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0,000</w:t>
            </w:r>
          </w:p>
        </w:tc>
        <w:tc>
          <w:tcPr>
            <w:tcW w:w="11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0,746</w:t>
            </w:r>
          </w:p>
        </w:tc>
      </w:tr>
    </w:tbl>
    <w:p>
      <w:pPr>
        <w:sectPr>
          <w:headerReference w:type="default" r:id="rId38"/>
          <w:footerReference w:type="default" r:id="rId39"/>
          <w:type w:val="nextPage"/>
          <w:pgSz w:orient="landscape" w:w="16838" w:h="11906"/>
          <w:pgMar w:left="1134" w:right="1134" w:header="1134" w:top="1693" w:footer="0" w:bottom="567" w:gutter="0"/>
          <w:pgNumType w:fmt="decimal"/>
          <w:formProt w:val="false"/>
          <w:textDirection w:val="lrTb"/>
          <w:docGrid w:type="default" w:linePitch="360" w:charSpace="0"/>
        </w:sectPr>
      </w:pPr>
    </w:p>
    <w:p>
      <w:pPr>
        <w:pStyle w:val="A1"/>
        <w:rPr>
          <w:rFonts w:eastAsia="Calibri" w:eastAsiaTheme="minorHAnsi"/>
        </w:rPr>
      </w:pPr>
      <w:bookmarkStart w:id="91" w:name="_Hlk8034393"/>
      <w:bookmarkEnd w:id="91"/>
      <w:r>
        <w:rPr/>
        <w:t>Радиус</w:t>
      </w:r>
      <w:r>
        <w:rPr>
          <w:spacing w:val="10"/>
        </w:rPr>
        <w:t xml:space="preserve"> </w:t>
      </w:r>
      <w:r>
        <w:rPr/>
        <w:t>эффективного</w:t>
      </w:r>
      <w:r>
        <w:rPr>
          <w:spacing w:val="9"/>
        </w:rPr>
        <w:t xml:space="preserve"> </w:t>
      </w:r>
      <w:r>
        <w:rPr/>
        <w:t>теплоснабжения</w:t>
      </w:r>
      <w:r>
        <w:rPr>
          <w:spacing w:val="15"/>
        </w:rPr>
        <w:t xml:space="preserve"> </w:t>
      </w:r>
      <w:r>
        <w:rPr/>
        <w:t>-</w:t>
      </w:r>
      <w:r>
        <w:rPr>
          <w:spacing w:val="11"/>
        </w:rPr>
        <w:t xml:space="preserve"> </w:t>
      </w:r>
      <w:r>
        <w:rPr/>
        <w:t>максимальное</w:t>
      </w:r>
      <w:r>
        <w:rPr>
          <w:spacing w:val="10"/>
        </w:rPr>
        <w:t xml:space="preserve"> </w:t>
      </w:r>
      <w:r>
        <w:rPr/>
        <w:t>расстояние</w:t>
      </w:r>
      <w:r>
        <w:rPr>
          <w:spacing w:val="10"/>
        </w:rPr>
        <w:t xml:space="preserve"> </w:t>
      </w:r>
      <w:r>
        <w:rPr/>
        <w:t>от</w:t>
      </w:r>
      <w:r>
        <w:rPr>
          <w:spacing w:val="10"/>
        </w:rPr>
        <w:t xml:space="preserve"> </w:t>
      </w:r>
      <w:r>
        <w:rPr/>
        <w:t>теплопотребляющей</w:t>
      </w:r>
      <w:r>
        <w:rPr>
          <w:spacing w:val="77"/>
        </w:rPr>
        <w:t xml:space="preserve"> </w:t>
      </w:r>
      <w:r>
        <w:rPr/>
        <w:t>установки</w:t>
      </w:r>
      <w:r>
        <w:rPr>
          <w:spacing w:val="46"/>
        </w:rPr>
        <w:t xml:space="preserve"> </w:t>
      </w:r>
      <w:r>
        <w:rPr/>
        <w:t>до</w:t>
      </w:r>
      <w:r>
        <w:rPr>
          <w:spacing w:val="45"/>
        </w:rPr>
        <w:t xml:space="preserve"> </w:t>
      </w:r>
      <w:r>
        <w:rPr/>
        <w:t>ближайшего</w:t>
      </w:r>
      <w:r>
        <w:rPr>
          <w:spacing w:val="45"/>
        </w:rPr>
        <w:t xml:space="preserve"> </w:t>
      </w:r>
      <w:r>
        <w:rPr/>
        <w:t>источника</w:t>
      </w:r>
      <w:r>
        <w:rPr>
          <w:spacing w:val="44"/>
        </w:rPr>
        <w:t xml:space="preserve"> </w:t>
      </w:r>
      <w:r>
        <w:rPr/>
        <w:t>тепловой</w:t>
      </w:r>
      <w:r>
        <w:rPr>
          <w:spacing w:val="45"/>
        </w:rPr>
        <w:t xml:space="preserve"> </w:t>
      </w:r>
      <w:r>
        <w:rPr/>
        <w:t>энергии</w:t>
      </w:r>
      <w:r>
        <w:rPr>
          <w:spacing w:val="46"/>
        </w:rPr>
        <w:t xml:space="preserve"> </w:t>
      </w:r>
      <w:r>
        <w:rPr/>
        <w:t>в</w:t>
      </w:r>
      <w:r>
        <w:rPr>
          <w:spacing w:val="44"/>
        </w:rPr>
        <w:t xml:space="preserve"> </w:t>
      </w:r>
      <w:r>
        <w:rPr/>
        <w:t>системе</w:t>
      </w:r>
      <w:r>
        <w:rPr>
          <w:spacing w:val="44"/>
        </w:rPr>
        <w:t xml:space="preserve"> </w:t>
      </w:r>
      <w:r>
        <w:rPr/>
        <w:t>теплоснабжения,</w:t>
      </w:r>
      <w:r>
        <w:rPr>
          <w:spacing w:val="47"/>
        </w:rPr>
        <w:t xml:space="preserve"> </w:t>
      </w:r>
      <w:r>
        <w:rPr/>
        <w:t>при</w:t>
      </w:r>
      <w:r>
        <w:rPr>
          <w:spacing w:val="83"/>
        </w:rPr>
        <w:t xml:space="preserve"> </w:t>
      </w:r>
      <w:r>
        <w:rPr/>
        <w:t>превышении</w:t>
      </w:r>
      <w:r>
        <w:rPr>
          <w:spacing w:val="34"/>
        </w:rPr>
        <w:t xml:space="preserve"> </w:t>
      </w:r>
      <w:r>
        <w:rPr/>
        <w:t>которого,</w:t>
      </w:r>
      <w:r>
        <w:rPr>
          <w:spacing w:val="30"/>
        </w:rPr>
        <w:t xml:space="preserve"> </w:t>
      </w:r>
      <w:r>
        <w:rPr/>
        <w:t>подключение</w:t>
      </w:r>
      <w:r>
        <w:rPr>
          <w:spacing w:val="32"/>
        </w:rPr>
        <w:t xml:space="preserve"> </w:t>
      </w:r>
      <w:r>
        <w:rPr/>
        <w:t>теплопотребляющей</w:t>
      </w:r>
      <w:r>
        <w:rPr>
          <w:spacing w:val="36"/>
        </w:rPr>
        <w:t xml:space="preserve"> </w:t>
      </w:r>
      <w:r>
        <w:rPr/>
        <w:t>установки</w:t>
      </w:r>
      <w:r>
        <w:rPr>
          <w:spacing w:val="34"/>
        </w:rPr>
        <w:t xml:space="preserve"> </w:t>
      </w:r>
      <w:r>
        <w:rPr/>
        <w:t>к</w:t>
      </w:r>
      <w:r>
        <w:rPr>
          <w:spacing w:val="34"/>
        </w:rPr>
        <w:t xml:space="preserve"> </w:t>
      </w:r>
      <w:r>
        <w:rPr/>
        <w:t>данной</w:t>
      </w:r>
      <w:r>
        <w:rPr>
          <w:spacing w:val="34"/>
        </w:rPr>
        <w:t xml:space="preserve"> </w:t>
      </w:r>
      <w:r>
        <w:rPr/>
        <w:t>системе</w:t>
      </w:r>
      <w:r>
        <w:rPr>
          <w:spacing w:val="69"/>
        </w:rPr>
        <w:t xml:space="preserve"> </w:t>
      </w:r>
      <w:r>
        <w:rPr/>
        <w:t>теплоснабжения</w:t>
      </w:r>
      <w:r>
        <w:rPr>
          <w:spacing w:val="18"/>
        </w:rPr>
        <w:t xml:space="preserve"> </w:t>
      </w:r>
      <w:r>
        <w:rPr/>
        <w:t>нецелесообразно</w:t>
      </w:r>
      <w:r>
        <w:rPr>
          <w:spacing w:val="21"/>
        </w:rPr>
        <w:t xml:space="preserve"> </w:t>
      </w:r>
      <w:r>
        <w:rPr/>
        <w:t>по</w:t>
      </w:r>
      <w:r>
        <w:rPr>
          <w:spacing w:val="18"/>
        </w:rPr>
        <w:t xml:space="preserve"> </w:t>
      </w:r>
      <w:r>
        <w:rPr/>
        <w:t>причине</w:t>
      </w:r>
      <w:r>
        <w:rPr>
          <w:spacing w:val="22"/>
        </w:rPr>
        <w:t xml:space="preserve"> </w:t>
      </w:r>
      <w:r>
        <w:rPr/>
        <w:t>увеличения</w:t>
      </w:r>
      <w:r>
        <w:rPr>
          <w:spacing w:val="21"/>
        </w:rPr>
        <w:t xml:space="preserve"> </w:t>
      </w:r>
      <w:r>
        <w:rPr/>
        <w:t>совокупных</w:t>
      </w:r>
      <w:r>
        <w:rPr>
          <w:spacing w:val="20"/>
        </w:rPr>
        <w:t xml:space="preserve"> </w:t>
      </w:r>
      <w:r>
        <w:rPr/>
        <w:t>расходов</w:t>
      </w:r>
      <w:r>
        <w:rPr>
          <w:spacing w:val="21"/>
        </w:rPr>
        <w:t xml:space="preserve"> </w:t>
      </w:r>
      <w:r>
        <w:rPr/>
        <w:t>в</w:t>
      </w:r>
      <w:r>
        <w:rPr>
          <w:spacing w:val="20"/>
        </w:rPr>
        <w:t xml:space="preserve"> </w:t>
      </w:r>
      <w:r>
        <w:rPr/>
        <w:t>системе</w:t>
      </w:r>
      <w:r>
        <w:rPr>
          <w:spacing w:val="65"/>
        </w:rPr>
        <w:t xml:space="preserve"> </w:t>
      </w:r>
      <w:r>
        <w:rPr/>
        <w:t>теплоснабжения.</w:t>
      </w:r>
    </w:p>
    <w:p>
      <w:pPr>
        <w:pStyle w:val="A1"/>
        <w:rPr/>
      </w:pPr>
      <w:r>
        <w:rPr/>
        <w:t>Подключение</w:t>
      </w:r>
      <w:r>
        <w:rPr>
          <w:spacing w:val="54"/>
        </w:rPr>
        <w:t xml:space="preserve"> </w:t>
      </w:r>
      <w:r>
        <w:rPr/>
        <w:t>дополнительной</w:t>
      </w:r>
      <w:r>
        <w:rPr>
          <w:spacing w:val="55"/>
        </w:rPr>
        <w:t xml:space="preserve"> </w:t>
      </w:r>
      <w:r>
        <w:rPr/>
        <w:t>тепловой</w:t>
      </w:r>
      <w:r>
        <w:rPr>
          <w:spacing w:val="55"/>
        </w:rPr>
        <w:t xml:space="preserve"> </w:t>
      </w:r>
      <w:r>
        <w:rPr/>
        <w:t>нагрузки</w:t>
      </w:r>
      <w:r>
        <w:rPr>
          <w:spacing w:val="1"/>
        </w:rPr>
        <w:t xml:space="preserve"> </w:t>
      </w:r>
      <w:r>
        <w:rPr/>
        <w:t>с</w:t>
      </w:r>
      <w:r>
        <w:rPr>
          <w:spacing w:val="56"/>
        </w:rPr>
        <w:t xml:space="preserve"> </w:t>
      </w:r>
      <w:r>
        <w:rPr/>
        <w:t>увеличением</w:t>
      </w:r>
      <w:r>
        <w:rPr>
          <w:spacing w:val="54"/>
        </w:rPr>
        <w:t xml:space="preserve"> </w:t>
      </w:r>
      <w:r>
        <w:rPr/>
        <w:t>радиуса</w:t>
      </w:r>
      <w:r>
        <w:rPr>
          <w:spacing w:val="54"/>
        </w:rPr>
        <w:t xml:space="preserve"> </w:t>
      </w:r>
      <w:r>
        <w:rPr/>
        <w:t>действия</w:t>
      </w:r>
      <w:r>
        <w:rPr>
          <w:spacing w:val="77"/>
        </w:rPr>
        <w:t xml:space="preserve"> </w:t>
      </w:r>
      <w:r>
        <w:rPr/>
        <w:t>источника</w:t>
      </w:r>
      <w:r>
        <w:rPr>
          <w:spacing w:val="6"/>
        </w:rPr>
        <w:t xml:space="preserve"> </w:t>
      </w:r>
      <w:r>
        <w:rPr/>
        <w:t>тепловой</w:t>
      </w:r>
      <w:r>
        <w:rPr>
          <w:spacing w:val="7"/>
        </w:rPr>
        <w:t xml:space="preserve"> </w:t>
      </w:r>
      <w:r>
        <w:rPr/>
        <w:t>энергии</w:t>
      </w:r>
      <w:r>
        <w:rPr>
          <w:spacing w:val="7"/>
        </w:rPr>
        <w:t xml:space="preserve"> </w:t>
      </w:r>
      <w:r>
        <w:rPr/>
        <w:t>приводит</w:t>
      </w:r>
      <w:r>
        <w:rPr>
          <w:spacing w:val="7"/>
        </w:rPr>
        <w:t xml:space="preserve"> </w:t>
      </w:r>
      <w:r>
        <w:rPr/>
        <w:t>к</w:t>
      </w:r>
      <w:r>
        <w:rPr>
          <w:spacing w:val="7"/>
        </w:rPr>
        <w:t xml:space="preserve"> </w:t>
      </w:r>
      <w:r>
        <w:rPr/>
        <w:t>возрастанию</w:t>
      </w:r>
      <w:r>
        <w:rPr>
          <w:spacing w:val="7"/>
        </w:rPr>
        <w:t xml:space="preserve"> </w:t>
      </w:r>
      <w:r>
        <w:rPr/>
        <w:t>затрат</w:t>
      </w:r>
      <w:r>
        <w:rPr>
          <w:spacing w:val="7"/>
        </w:rPr>
        <w:t xml:space="preserve"> </w:t>
      </w:r>
      <w:r>
        <w:rPr/>
        <w:t>на</w:t>
      </w:r>
      <w:r>
        <w:rPr>
          <w:spacing w:val="6"/>
        </w:rPr>
        <w:t xml:space="preserve"> </w:t>
      </w:r>
      <w:r>
        <w:rPr/>
        <w:t>производство</w:t>
      </w:r>
      <w:r>
        <w:rPr>
          <w:spacing w:val="6"/>
        </w:rPr>
        <w:t xml:space="preserve"> </w:t>
      </w:r>
      <w:r>
        <w:rPr/>
        <w:t>и</w:t>
      </w:r>
      <w:r>
        <w:rPr>
          <w:spacing w:val="7"/>
        </w:rPr>
        <w:t xml:space="preserve"> </w:t>
      </w:r>
      <w:r>
        <w:rPr/>
        <w:t>транспорт</w:t>
      </w:r>
      <w:r>
        <w:rPr>
          <w:spacing w:val="97"/>
        </w:rPr>
        <w:t xml:space="preserve"> </w:t>
      </w:r>
      <w:r>
        <w:rPr/>
        <w:t>тепловой</w:t>
      </w:r>
      <w:r>
        <w:rPr>
          <w:spacing w:val="22"/>
        </w:rPr>
        <w:t xml:space="preserve"> </w:t>
      </w:r>
      <w:r>
        <w:rPr/>
        <w:t>энергии</w:t>
      </w:r>
      <w:r>
        <w:rPr>
          <w:spacing w:val="22"/>
        </w:rPr>
        <w:t xml:space="preserve"> </w:t>
      </w:r>
      <w:r>
        <w:rPr/>
        <w:t>и</w:t>
      </w:r>
      <w:r>
        <w:rPr>
          <w:spacing w:val="22"/>
        </w:rPr>
        <w:t xml:space="preserve"> </w:t>
      </w:r>
      <w:r>
        <w:rPr/>
        <w:t>одновременно</w:t>
      </w:r>
      <w:r>
        <w:rPr>
          <w:spacing w:val="21"/>
        </w:rPr>
        <w:t xml:space="preserve"> </w:t>
      </w:r>
      <w:r>
        <w:rPr/>
        <w:t>к</w:t>
      </w:r>
      <w:r>
        <w:rPr>
          <w:spacing w:val="24"/>
        </w:rPr>
        <w:t xml:space="preserve"> </w:t>
      </w:r>
      <w:r>
        <w:rPr/>
        <w:t>увеличению</w:t>
      </w:r>
      <w:r>
        <w:rPr>
          <w:spacing w:val="21"/>
        </w:rPr>
        <w:t xml:space="preserve"> </w:t>
      </w:r>
      <w:r>
        <w:rPr/>
        <w:t>доходов</w:t>
      </w:r>
      <w:r>
        <w:rPr>
          <w:spacing w:val="21"/>
        </w:rPr>
        <w:t xml:space="preserve"> </w:t>
      </w:r>
      <w:r>
        <w:rPr/>
        <w:t>от</w:t>
      </w:r>
      <w:r>
        <w:rPr>
          <w:spacing w:val="22"/>
        </w:rPr>
        <w:t xml:space="preserve"> </w:t>
      </w:r>
      <w:r>
        <w:rPr/>
        <w:t>дополнительного</w:t>
      </w:r>
      <w:r>
        <w:rPr>
          <w:spacing w:val="21"/>
        </w:rPr>
        <w:t xml:space="preserve"> </w:t>
      </w:r>
      <w:r>
        <w:rPr/>
        <w:t>объема</w:t>
      </w:r>
      <w:r>
        <w:rPr>
          <w:spacing w:val="20"/>
        </w:rPr>
        <w:t xml:space="preserve"> </w:t>
      </w:r>
      <w:r>
        <w:rPr/>
        <w:t>ее</w:t>
      </w:r>
      <w:r>
        <w:rPr>
          <w:spacing w:val="97"/>
        </w:rPr>
        <w:t xml:space="preserve"> </w:t>
      </w:r>
      <w:r>
        <w:rPr/>
        <w:t>реализации.</w:t>
      </w:r>
      <w:r>
        <w:rPr>
          <w:spacing w:val="14"/>
        </w:rPr>
        <w:t xml:space="preserve"> </w:t>
      </w:r>
      <w:r>
        <w:rPr/>
        <w:t>Радиус</w:t>
      </w:r>
      <w:r>
        <w:rPr>
          <w:spacing w:val="15"/>
        </w:rPr>
        <w:t xml:space="preserve"> </w:t>
      </w:r>
      <w:r>
        <w:rPr/>
        <w:t>эффективного</w:t>
      </w:r>
      <w:r>
        <w:rPr>
          <w:spacing w:val="14"/>
        </w:rPr>
        <w:t xml:space="preserve"> </w:t>
      </w:r>
      <w:r>
        <w:rPr/>
        <w:t>теплоснабжения</w:t>
      </w:r>
      <w:r>
        <w:rPr>
          <w:spacing w:val="16"/>
        </w:rPr>
        <w:t xml:space="preserve"> </w:t>
      </w:r>
      <w:r>
        <w:rPr/>
        <w:t>представляет</w:t>
      </w:r>
      <w:r>
        <w:rPr>
          <w:spacing w:val="17"/>
        </w:rPr>
        <w:t xml:space="preserve"> </w:t>
      </w:r>
      <w:r>
        <w:rPr/>
        <w:t>собой</w:t>
      </w:r>
      <w:r>
        <w:rPr>
          <w:spacing w:val="17"/>
        </w:rPr>
        <w:t xml:space="preserve"> </w:t>
      </w:r>
      <w:r>
        <w:rPr/>
        <w:t>то</w:t>
      </w:r>
      <w:r>
        <w:rPr>
          <w:spacing w:val="16"/>
        </w:rPr>
        <w:t xml:space="preserve"> </w:t>
      </w:r>
      <w:r>
        <w:rPr/>
        <w:t>расстояние,</w:t>
      </w:r>
      <w:r>
        <w:rPr>
          <w:spacing w:val="16"/>
        </w:rPr>
        <w:t xml:space="preserve"> </w:t>
      </w:r>
      <w:r>
        <w:rPr/>
        <w:t>при</w:t>
      </w:r>
      <w:r>
        <w:rPr>
          <w:spacing w:val="73"/>
        </w:rPr>
        <w:t xml:space="preserve"> </w:t>
      </w:r>
      <w:r>
        <w:rPr/>
        <w:t>котором</w:t>
      </w:r>
      <w:r>
        <w:rPr>
          <w:spacing w:val="42"/>
        </w:rPr>
        <w:t xml:space="preserve"> </w:t>
      </w:r>
      <w:r>
        <w:rPr/>
        <w:t>увеличение</w:t>
      </w:r>
      <w:r>
        <w:rPr>
          <w:spacing w:val="42"/>
        </w:rPr>
        <w:t xml:space="preserve"> </w:t>
      </w:r>
      <w:r>
        <w:rPr/>
        <w:t>доходов</w:t>
      </w:r>
      <w:r>
        <w:rPr>
          <w:spacing w:val="40"/>
        </w:rPr>
        <w:t xml:space="preserve"> </w:t>
      </w:r>
      <w:r>
        <w:rPr/>
        <w:t>равно</w:t>
      </w:r>
      <w:r>
        <w:rPr>
          <w:spacing w:val="40"/>
        </w:rPr>
        <w:t xml:space="preserve"> </w:t>
      </w:r>
      <w:r>
        <w:rPr/>
        <w:t>по</w:t>
      </w:r>
      <w:r>
        <w:rPr>
          <w:spacing w:val="40"/>
        </w:rPr>
        <w:t xml:space="preserve"> </w:t>
      </w:r>
      <w:r>
        <w:rPr/>
        <w:t>величине</w:t>
      </w:r>
      <w:r>
        <w:rPr>
          <w:spacing w:val="39"/>
        </w:rPr>
        <w:t xml:space="preserve"> </w:t>
      </w:r>
      <w:r>
        <w:rPr/>
        <w:t>возрастанию</w:t>
      </w:r>
      <w:r>
        <w:rPr>
          <w:spacing w:val="38"/>
        </w:rPr>
        <w:t xml:space="preserve"> </w:t>
      </w:r>
      <w:r>
        <w:rPr/>
        <w:t>затрат.</w:t>
      </w:r>
      <w:r>
        <w:rPr>
          <w:spacing w:val="40"/>
        </w:rPr>
        <w:t xml:space="preserve"> </w:t>
      </w:r>
      <w:r>
        <w:rPr/>
        <w:t>Для</w:t>
      </w:r>
      <w:r>
        <w:rPr>
          <w:spacing w:val="40"/>
        </w:rPr>
        <w:t xml:space="preserve"> </w:t>
      </w:r>
      <w:r>
        <w:rPr/>
        <w:t>действующих</w:t>
      </w:r>
      <w:r>
        <w:rPr>
          <w:spacing w:val="59"/>
        </w:rPr>
        <w:t xml:space="preserve"> </w:t>
      </w:r>
      <w:r>
        <w:rPr/>
        <w:t>источников</w:t>
      </w:r>
      <w:r>
        <w:rPr>
          <w:spacing w:val="52"/>
        </w:rPr>
        <w:t xml:space="preserve"> </w:t>
      </w:r>
      <w:r>
        <w:rPr/>
        <w:t>тепловой</w:t>
      </w:r>
      <w:r>
        <w:rPr>
          <w:spacing w:val="53"/>
        </w:rPr>
        <w:t xml:space="preserve"> </w:t>
      </w:r>
      <w:r>
        <w:rPr/>
        <w:t>энергии</w:t>
      </w:r>
      <w:r>
        <w:rPr>
          <w:spacing w:val="53"/>
        </w:rPr>
        <w:t xml:space="preserve"> </w:t>
      </w:r>
      <w:r>
        <w:rPr/>
        <w:t>это</w:t>
      </w:r>
      <w:r>
        <w:rPr>
          <w:spacing w:val="52"/>
        </w:rPr>
        <w:t xml:space="preserve"> </w:t>
      </w:r>
      <w:r>
        <w:rPr/>
        <w:t>означает,</w:t>
      </w:r>
      <w:r>
        <w:rPr>
          <w:spacing w:val="54"/>
        </w:rPr>
        <w:t xml:space="preserve"> </w:t>
      </w:r>
      <w:r>
        <w:rPr/>
        <w:t>что</w:t>
      </w:r>
      <w:r>
        <w:rPr>
          <w:spacing w:val="54"/>
        </w:rPr>
        <w:t xml:space="preserve"> </w:t>
      </w:r>
      <w:r>
        <w:rPr/>
        <w:t>удельные</w:t>
      </w:r>
      <w:r>
        <w:rPr>
          <w:spacing w:val="51"/>
        </w:rPr>
        <w:t xml:space="preserve"> </w:t>
      </w:r>
      <w:r>
        <w:rPr/>
        <w:t>затраты</w:t>
      </w:r>
      <w:r>
        <w:rPr>
          <w:spacing w:val="54"/>
        </w:rPr>
        <w:t xml:space="preserve"> </w:t>
      </w:r>
      <w:r>
        <w:rPr/>
        <w:t>(на</w:t>
      </w:r>
      <w:r>
        <w:rPr>
          <w:spacing w:val="52"/>
        </w:rPr>
        <w:t xml:space="preserve"> </w:t>
      </w:r>
      <w:r>
        <w:rPr/>
        <w:t>единицу</w:t>
      </w:r>
      <w:r>
        <w:rPr>
          <w:spacing w:val="47"/>
        </w:rPr>
        <w:t xml:space="preserve"> </w:t>
      </w:r>
      <w:r>
        <w:rPr/>
        <w:t>отпущенной</w:t>
      </w:r>
      <w:r>
        <w:rPr>
          <w:spacing w:val="75"/>
        </w:rPr>
        <w:t xml:space="preserve"> </w:t>
      </w:r>
      <w:r>
        <w:rPr/>
        <w:t>потребителям тепловой</w:t>
      </w:r>
      <w:r>
        <w:rPr>
          <w:spacing w:val="-2"/>
        </w:rPr>
        <w:t xml:space="preserve"> </w:t>
      </w:r>
      <w:r>
        <w:rPr/>
        <w:t>энергии) являются минимальными.</w:t>
      </w:r>
    </w:p>
    <w:p>
      <w:pPr>
        <w:pStyle w:val="A1"/>
        <w:rPr/>
      </w:pPr>
      <w:r>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pPr>
        <w:pStyle w:val="A1"/>
        <w:rPr/>
      </w:pPr>
      <w:r>
        <w:rPr/>
        <w:t>Связь</w:t>
      </w:r>
      <w:r>
        <w:rPr>
          <w:spacing w:val="7"/>
        </w:rPr>
        <w:t xml:space="preserve"> </w:t>
      </w:r>
      <w:r>
        <w:rPr/>
        <w:t>между</w:t>
      </w:r>
      <w:r>
        <w:rPr>
          <w:spacing w:val="6"/>
        </w:rPr>
        <w:t xml:space="preserve"> </w:t>
      </w:r>
      <w:r>
        <w:rPr/>
        <w:t>удельными</w:t>
      </w:r>
      <w:r>
        <w:rPr>
          <w:spacing w:val="7"/>
        </w:rPr>
        <w:t xml:space="preserve"> </w:t>
      </w:r>
      <w:r>
        <w:rPr/>
        <w:t>затратами</w:t>
      </w:r>
      <w:r>
        <w:rPr>
          <w:spacing w:val="7"/>
        </w:rPr>
        <w:t xml:space="preserve"> </w:t>
      </w:r>
      <w:r>
        <w:rPr/>
        <w:t>на</w:t>
      </w:r>
      <w:r>
        <w:rPr>
          <w:spacing w:val="6"/>
        </w:rPr>
        <w:t xml:space="preserve"> </w:t>
      </w:r>
      <w:r>
        <w:rPr/>
        <w:t>производство</w:t>
      </w:r>
      <w:r>
        <w:rPr>
          <w:spacing w:val="6"/>
        </w:rPr>
        <w:t xml:space="preserve"> </w:t>
      </w:r>
      <w:r>
        <w:rPr/>
        <w:t>и</w:t>
      </w:r>
      <w:r>
        <w:rPr>
          <w:spacing w:val="7"/>
        </w:rPr>
        <w:t xml:space="preserve"> </w:t>
      </w:r>
      <w:r>
        <w:rPr/>
        <w:t>транспорт</w:t>
      </w:r>
      <w:r>
        <w:rPr>
          <w:spacing w:val="5"/>
        </w:rPr>
        <w:t xml:space="preserve"> </w:t>
      </w:r>
      <w:r>
        <w:rPr/>
        <w:t>тепловой</w:t>
      </w:r>
      <w:r>
        <w:rPr>
          <w:spacing w:val="7"/>
        </w:rPr>
        <w:t xml:space="preserve"> </w:t>
      </w:r>
      <w:r>
        <w:rPr/>
        <w:t>энергии</w:t>
      </w:r>
      <w:r>
        <w:rPr>
          <w:spacing w:val="7"/>
        </w:rPr>
        <w:t xml:space="preserve"> </w:t>
      </w:r>
      <w:r>
        <w:rPr/>
        <w:t>с</w:t>
      </w:r>
      <w:r>
        <w:rPr>
          <w:spacing w:val="67"/>
        </w:rPr>
        <w:t xml:space="preserve"> </w:t>
      </w:r>
      <w:r>
        <w:rPr/>
        <w:t>радиусом</w:t>
      </w:r>
      <w:r>
        <w:rPr>
          <w:spacing w:val="56"/>
        </w:rPr>
        <w:t xml:space="preserve"> </w:t>
      </w:r>
      <w:r>
        <w:rPr/>
        <w:t>теплоснабжения</w:t>
      </w:r>
      <w:r>
        <w:rPr>
          <w:spacing w:val="57"/>
        </w:rPr>
        <w:t xml:space="preserve"> </w:t>
      </w:r>
      <w:r>
        <w:rPr/>
        <w:t>осуществляется</w:t>
      </w:r>
      <w:r>
        <w:rPr>
          <w:spacing w:val="59"/>
        </w:rPr>
        <w:t xml:space="preserve"> </w:t>
      </w:r>
      <w:r>
        <w:rPr/>
        <w:t>с</w:t>
      </w:r>
      <w:r>
        <w:rPr>
          <w:spacing w:val="56"/>
        </w:rPr>
        <w:t xml:space="preserve"> </w:t>
      </w:r>
      <w:r>
        <w:rPr/>
        <w:t>помощью</w:t>
      </w:r>
      <w:r>
        <w:rPr>
          <w:spacing w:val="57"/>
        </w:rPr>
        <w:t xml:space="preserve"> </w:t>
      </w:r>
      <w:r>
        <w:rPr/>
        <w:t>следующей</w:t>
      </w:r>
      <w:r>
        <w:rPr>
          <w:spacing w:val="58"/>
        </w:rPr>
        <w:t xml:space="preserve"> </w:t>
      </w:r>
      <w:r>
        <w:rPr/>
        <w:t>полуэмпирической</w:t>
      </w:r>
      <w:r>
        <w:rPr>
          <w:spacing w:val="79"/>
        </w:rPr>
        <w:t xml:space="preserve"> </w:t>
      </w:r>
      <w:r>
        <w:rPr/>
        <w:t>зависимости:</w:t>
      </w:r>
    </w:p>
    <w:p>
      <w:pPr>
        <w:pStyle w:val="A1"/>
        <w:ind w:hanging="0"/>
        <w:jc w:val="center"/>
        <w:rPr/>
      </w:pPr>
      <w:r>
        <w:rPr/>
        <w:object>
          <v:shape id="ole_rId40" style="width:186pt;height:36pt" o:ole="">
            <v:imagedata r:id="rId41" o:title=""/>
          </v:shape>
          <o:OLEObject Type="Embed" ProgID="Equation.DSMT4" ShapeID="ole_rId40" DrawAspect="Content" ObjectID="_1467660422" r:id="rId40"/>
        </w:object>
      </w:r>
      <w:r>
        <w:rPr/>
        <w:t>,</w:t>
      </w:r>
    </w:p>
    <w:p>
      <w:pPr>
        <w:pStyle w:val="A1"/>
        <w:ind w:hanging="0"/>
        <w:rPr/>
      </w:pPr>
      <w:r>
        <w:rPr/>
        <w:t xml:space="preserve">где </w:t>
      </w:r>
      <w:r>
        <w:rPr>
          <w:i/>
          <w:iCs/>
        </w:rPr>
        <w:t>R</w:t>
      </w:r>
      <w:r>
        <w:rPr/>
        <w:t xml:space="preserve"> – радиус действия тепловой сети (длина главной тепловой магистрали самого протяженного вывода от источника), км;</w:t>
      </w:r>
    </w:p>
    <w:p>
      <w:pPr>
        <w:pStyle w:val="A1"/>
        <w:rPr/>
      </w:pPr>
      <w:r>
        <w:rPr>
          <w:i/>
        </w:rPr>
        <w:t>H</w:t>
      </w:r>
      <w:r>
        <w:rPr>
          <w:i/>
          <w:spacing w:val="33"/>
        </w:rPr>
        <w:t xml:space="preserve"> </w:t>
      </w:r>
      <w:r>
        <w:rPr/>
        <w:t>–</w:t>
      </w:r>
      <w:r>
        <w:rPr>
          <w:spacing w:val="32"/>
        </w:rPr>
        <w:t xml:space="preserve"> </w:t>
      </w:r>
      <w:r>
        <w:rPr/>
        <w:t>потеря</w:t>
      </w:r>
      <w:r>
        <w:rPr>
          <w:spacing w:val="30"/>
        </w:rPr>
        <w:t xml:space="preserve"> </w:t>
      </w:r>
      <w:r>
        <w:rPr/>
        <w:t>напора</w:t>
      </w:r>
      <w:r>
        <w:rPr>
          <w:spacing w:val="32"/>
        </w:rPr>
        <w:t xml:space="preserve"> </w:t>
      </w:r>
      <w:r>
        <w:rPr/>
        <w:t>на</w:t>
      </w:r>
      <w:r>
        <w:rPr>
          <w:spacing w:val="30"/>
        </w:rPr>
        <w:t xml:space="preserve"> </w:t>
      </w:r>
      <w:r>
        <w:rPr/>
        <w:t>трение</w:t>
      </w:r>
      <w:r>
        <w:rPr>
          <w:spacing w:val="32"/>
        </w:rPr>
        <w:t xml:space="preserve"> </w:t>
      </w:r>
      <w:r>
        <w:rPr/>
        <w:t>при</w:t>
      </w:r>
      <w:r>
        <w:rPr>
          <w:spacing w:val="34"/>
        </w:rPr>
        <w:t xml:space="preserve"> </w:t>
      </w:r>
      <w:r>
        <w:rPr/>
        <w:t>транспорте</w:t>
      </w:r>
      <w:r>
        <w:rPr>
          <w:spacing w:val="30"/>
        </w:rPr>
        <w:t xml:space="preserve"> </w:t>
      </w:r>
      <w:r>
        <w:rPr/>
        <w:t>теплоносителя</w:t>
      </w:r>
      <w:r>
        <w:rPr>
          <w:spacing w:val="31"/>
        </w:rPr>
        <w:t xml:space="preserve"> </w:t>
      </w:r>
      <w:r>
        <w:rPr/>
        <w:t>по</w:t>
      </w:r>
      <w:r>
        <w:rPr>
          <w:spacing w:val="30"/>
        </w:rPr>
        <w:t xml:space="preserve"> </w:t>
      </w:r>
      <w:r>
        <w:rPr/>
        <w:t>тепловой</w:t>
      </w:r>
      <w:r>
        <w:rPr>
          <w:spacing w:val="33"/>
        </w:rPr>
        <w:t xml:space="preserve"> </w:t>
      </w:r>
      <w:r>
        <w:rPr/>
        <w:t>магистрали,</w:t>
      </w:r>
      <w:r>
        <w:rPr>
          <w:spacing w:val="33"/>
        </w:rPr>
        <w:t xml:space="preserve"> </w:t>
      </w:r>
      <w:r>
        <w:rPr/>
        <w:t>м.</w:t>
      </w:r>
      <w:r>
        <w:rPr>
          <w:spacing w:val="75"/>
        </w:rPr>
        <w:t xml:space="preserve"> </w:t>
      </w:r>
      <w:r>
        <w:rPr/>
        <w:t>вод. ст.;</w:t>
      </w:r>
    </w:p>
    <w:p>
      <w:pPr>
        <w:pStyle w:val="A1"/>
        <w:rPr/>
      </w:pPr>
      <w:r>
        <w:rPr>
          <w:i/>
        </w:rPr>
        <w:t xml:space="preserve">b </w:t>
      </w:r>
      <w:r>
        <w:rPr/>
        <w:t>– эмпирический коэффициент</w:t>
      </w:r>
      <w:r>
        <w:rPr>
          <w:spacing w:val="2"/>
        </w:rPr>
        <w:t xml:space="preserve"> </w:t>
      </w:r>
      <w:r>
        <w:rPr/>
        <w:t>удельных</w:t>
      </w:r>
      <w:r>
        <w:rPr>
          <w:spacing w:val="1"/>
        </w:rPr>
        <w:t xml:space="preserve"> </w:t>
      </w:r>
      <w:r>
        <w:rPr/>
        <w:t>затрат в</w:t>
      </w:r>
      <w:r>
        <w:rPr>
          <w:spacing w:val="1"/>
        </w:rPr>
        <w:t xml:space="preserve"> </w:t>
      </w:r>
      <w:r>
        <w:rPr/>
        <w:t>единицу</w:t>
      </w:r>
      <w:r>
        <w:rPr>
          <w:spacing w:val="-8"/>
        </w:rPr>
        <w:t xml:space="preserve"> </w:t>
      </w:r>
      <w:r>
        <w:rPr/>
        <w:t>тепловой</w:t>
      </w:r>
      <w:r>
        <w:rPr>
          <w:spacing w:val="2"/>
        </w:rPr>
        <w:t xml:space="preserve"> </w:t>
      </w:r>
      <w:r>
        <w:rPr/>
        <w:t>мощности котельной,</w:t>
      </w:r>
      <w:r>
        <w:rPr>
          <w:spacing w:val="71"/>
        </w:rPr>
        <w:t xml:space="preserve"> </w:t>
      </w:r>
      <w:r>
        <w:rPr/>
        <w:t>руб/Гкал/ч;</w:t>
      </w:r>
    </w:p>
    <w:p>
      <w:pPr>
        <w:pStyle w:val="A1"/>
        <w:rPr/>
      </w:pPr>
      <w:r>
        <w:rPr>
          <w:i/>
        </w:rPr>
        <w:t xml:space="preserve">s </w:t>
      </w:r>
      <w:r>
        <w:rPr/>
        <w:t>–</w:t>
      </w:r>
      <w:r>
        <w:rPr>
          <w:spacing w:val="1"/>
        </w:rPr>
        <w:t xml:space="preserve"> </w:t>
      </w:r>
      <w:r>
        <w:rPr/>
        <w:t>удельная стоимость материальной</w:t>
      </w:r>
      <w:r>
        <w:rPr>
          <w:spacing w:val="-2"/>
        </w:rPr>
        <w:t xml:space="preserve"> </w:t>
      </w:r>
      <w:r>
        <w:rPr/>
        <w:t>характеристики тепловой сети,</w:t>
      </w:r>
      <w:r>
        <w:rPr>
          <w:spacing w:val="-3"/>
        </w:rPr>
        <w:t xml:space="preserve"> </w:t>
      </w:r>
      <w:r>
        <w:rPr/>
        <w:t>руб./м2;</w:t>
      </w:r>
    </w:p>
    <w:p>
      <w:pPr>
        <w:pStyle w:val="A1"/>
        <w:rPr/>
      </w:pPr>
      <w:r>
        <w:rPr>
          <w:lang w:val="en-US"/>
        </w:rPr>
        <w:t>B</w:t>
      </w:r>
      <w:r>
        <w:rPr/>
        <w:t xml:space="preserve"> – среднее число абонентов на единицу площади зоны действия</w:t>
        <w:tab/>
        <w:t>источника теплоснабжения, 1/км2;</w:t>
      </w:r>
    </w:p>
    <w:p>
      <w:pPr>
        <w:pStyle w:val="A1"/>
        <w:rPr/>
      </w:pPr>
      <w:r>
        <w:rPr>
          <w:i/>
        </w:rPr>
        <w:t xml:space="preserve">П – </w:t>
      </w:r>
      <w:r>
        <w:rPr/>
        <w:t>теплоплотность района, Гкал/ч</w:t>
      </w:r>
      <w:r>
        <w:rPr>
          <w:rFonts w:cs="Calibri" w:ascii="Calibri" w:hAnsi="Calibri"/>
        </w:rPr>
        <w:t>·</w:t>
      </w:r>
      <w:r>
        <w:rPr/>
        <w:t>км</w:t>
      </w:r>
      <w:r>
        <w:rPr>
          <w:position w:val="11"/>
          <w:sz w:val="16"/>
        </w:rPr>
        <w:t>2</w:t>
      </w:r>
      <w:r>
        <w:rPr/>
        <w:t>;</w:t>
      </w:r>
    </w:p>
    <w:p>
      <w:pPr>
        <w:pStyle w:val="A1"/>
        <w:rPr/>
      </w:pPr>
      <w:r>
        <w:rPr/>
        <w:object>
          <v:shape id="ole_rId42" style="width:18pt;height:18pt" o:ole="">
            <v:imagedata r:id="rId43" o:title=""/>
          </v:shape>
          <o:OLEObject Type="Embed" ProgID="Equation.DSMT4" ShapeID="ole_rId42" DrawAspect="Content" ObjectID="_1843877962" r:id="rId42"/>
        </w:object>
      </w:r>
      <w:r>
        <w:rPr/>
        <w:t xml:space="preserve"> – </w:t>
      </w:r>
      <w:r>
        <w:rPr/>
        <w:t>расчетный перепад температур теплоносителя в тепловой сети, °С;</w:t>
      </w:r>
    </w:p>
    <w:p>
      <w:pPr>
        <w:pStyle w:val="A1"/>
        <w:rPr/>
      </w:pPr>
      <w:r>
        <w:rPr/>
        <w:object>
          <v:shape id="ole_rId44" style="width:18pt;height:18pt" o:ole="">
            <v:imagedata r:id="rId45" o:title=""/>
          </v:shape>
          <o:OLEObject Type="Embed" ProgID="Equation.DSMT4" ShapeID="ole_rId44" DrawAspect="Content" ObjectID="_1746491940" r:id="rId44"/>
        </w:object>
      </w:r>
      <w:r>
        <w:rPr/>
        <w:t xml:space="preserve">– </w:t>
      </w:r>
      <w:r>
        <w:rPr/>
        <w:t>поправочный коэффициент, принимаемый равным 1,3 для ТЭЦ и 1 для котельных.</w:t>
      </w:r>
    </w:p>
    <w:p>
      <w:pPr>
        <w:pStyle w:val="A1"/>
        <w:rPr/>
      </w:pPr>
      <w:r>
        <w:rPr/>
        <w:t>Дифференцируя</w:t>
      </w:r>
      <w:r>
        <w:rPr>
          <w:spacing w:val="45"/>
        </w:rPr>
        <w:t xml:space="preserve"> </w:t>
      </w:r>
      <w:r>
        <w:rPr/>
        <w:t>полученное</w:t>
      </w:r>
      <w:r>
        <w:rPr>
          <w:spacing w:val="44"/>
        </w:rPr>
        <w:t xml:space="preserve"> </w:t>
      </w:r>
      <w:r>
        <w:rPr/>
        <w:t>соотношение</w:t>
      </w:r>
      <w:r>
        <w:rPr>
          <w:spacing w:val="44"/>
        </w:rPr>
        <w:t xml:space="preserve"> </w:t>
      </w:r>
      <w:r>
        <w:rPr/>
        <w:t>по</w:t>
      </w:r>
      <w:r>
        <w:rPr>
          <w:spacing w:val="45"/>
        </w:rPr>
        <w:t xml:space="preserve"> </w:t>
      </w:r>
      <w:r>
        <w:rPr/>
        <w:t>параметру</w:t>
      </w:r>
      <w:r>
        <w:rPr>
          <w:spacing w:val="40"/>
        </w:rPr>
        <w:t xml:space="preserve"> </w:t>
      </w:r>
      <w:r>
        <w:rPr/>
        <w:t>R</w:t>
      </w:r>
      <w:r>
        <w:rPr>
          <w:spacing w:val="47"/>
        </w:rPr>
        <w:t xml:space="preserve"> </w:t>
      </w:r>
      <w:r>
        <w:rPr/>
        <w:t>и</w:t>
      </w:r>
      <w:r>
        <w:rPr>
          <w:spacing w:val="46"/>
        </w:rPr>
        <w:t xml:space="preserve"> </w:t>
      </w:r>
      <w:r>
        <w:rPr/>
        <w:t>приравнивая</w:t>
      </w:r>
      <w:r>
        <w:rPr>
          <w:spacing w:val="45"/>
        </w:rPr>
        <w:t xml:space="preserve"> </w:t>
      </w:r>
      <w:r>
        <w:rPr/>
        <w:t>к</w:t>
      </w:r>
      <w:r>
        <w:rPr>
          <w:spacing w:val="46"/>
        </w:rPr>
        <w:t xml:space="preserve"> </w:t>
      </w:r>
      <w:r>
        <w:rPr/>
        <w:t>нулю</w:t>
      </w:r>
      <w:r>
        <w:rPr>
          <w:spacing w:val="66"/>
        </w:rPr>
        <w:t xml:space="preserve"> </w:t>
      </w:r>
      <w:r>
        <w:rPr/>
        <w:t>производную,</w:t>
      </w:r>
      <w:r>
        <w:rPr>
          <w:spacing w:val="50"/>
        </w:rPr>
        <w:t xml:space="preserve"> </w:t>
      </w:r>
      <w:r>
        <w:rPr/>
        <w:t>можно</w:t>
      </w:r>
      <w:r>
        <w:rPr>
          <w:spacing w:val="52"/>
        </w:rPr>
        <w:t xml:space="preserve"> </w:t>
      </w:r>
      <w:r>
        <w:rPr/>
        <w:t>получить</w:t>
      </w:r>
      <w:r>
        <w:rPr>
          <w:spacing w:val="50"/>
        </w:rPr>
        <w:t xml:space="preserve"> </w:t>
      </w:r>
      <w:r>
        <w:rPr/>
        <w:t>формулу</w:t>
      </w:r>
      <w:r>
        <w:rPr>
          <w:spacing w:val="47"/>
        </w:rPr>
        <w:t xml:space="preserve"> </w:t>
      </w:r>
      <w:r>
        <w:rPr/>
        <w:t>для</w:t>
      </w:r>
      <w:r>
        <w:rPr>
          <w:spacing w:val="50"/>
        </w:rPr>
        <w:t xml:space="preserve"> </w:t>
      </w:r>
      <w:r>
        <w:rPr/>
        <w:t>определения</w:t>
      </w:r>
      <w:r>
        <w:rPr>
          <w:spacing w:val="47"/>
        </w:rPr>
        <w:t xml:space="preserve"> </w:t>
      </w:r>
      <w:r>
        <w:rPr/>
        <w:t>эффективного</w:t>
      </w:r>
      <w:r>
        <w:rPr>
          <w:spacing w:val="50"/>
        </w:rPr>
        <w:t xml:space="preserve"> </w:t>
      </w:r>
      <w:r>
        <w:rPr/>
        <w:t>радиуса</w:t>
      </w:r>
      <w:r>
        <w:rPr>
          <w:spacing w:val="73"/>
        </w:rPr>
        <w:t xml:space="preserve"> </w:t>
      </w:r>
      <w:r>
        <w:rPr/>
        <w:t>теплоснабжения в виде:</w:t>
      </w:r>
    </w:p>
    <w:p>
      <w:pPr>
        <w:pStyle w:val="A1"/>
        <w:ind w:hanging="0"/>
        <w:rPr/>
      </w:pPr>
      <w:r>
        <w:rPr/>
      </w:r>
      <m:oMath xmlns:m="http://schemas.openxmlformats.org/officeDocument/2006/math">
        <m:sSub>
          <m:e>
            <m:r>
              <w:rPr>
                <w:rFonts w:ascii="Cambria Math" w:hAnsi="Cambria Math"/>
              </w:rPr>
              <m:t xml:space="preserve">R</m:t>
            </m:r>
          </m:e>
          <m:sub>
            <m:r>
              <w:rPr>
                <w:rFonts w:ascii="Cambria Math" w:hAnsi="Cambria Math"/>
              </w:rPr>
              <m:t xml:space="preserve">э</m:t>
            </m:r>
          </m:sub>
        </m:sSub>
        <m:r>
          <w:rPr>
            <w:rFonts w:ascii="Cambria Math" w:hAnsi="Cambria Math"/>
          </w:rPr>
          <m:t xml:space="preserve">=</m:t>
        </m:r>
        <m:r>
          <w:rPr>
            <w:rFonts w:ascii="Cambria Math" w:hAnsi="Cambria Math"/>
          </w:rPr>
          <m:t xml:space="preserve">563</m:t>
        </m:r>
        <m:r>
          <w:rPr>
            <w:rFonts w:ascii="Cambria Math" w:hAnsi="Cambria Math"/>
          </w:rPr>
          <m:t xml:space="preserve">⋅</m:t>
        </m:r>
        <m:sSup>
          <m:e>
            <m:d>
              <m:dPr>
                <m:begChr m:val="("/>
                <m:endChr m:val=")"/>
              </m:dPr>
              <m:e>
                <m:f>
                  <m:num>
                    <m:r>
                      <w:rPr>
                        <w:rFonts w:ascii="Cambria Math" w:hAnsi="Cambria Math"/>
                      </w:rPr>
                      <m:t xml:space="preserve">φ</m:t>
                    </m:r>
                  </m:num>
                  <m:den>
                    <m:r>
                      <w:rPr>
                        <w:rFonts w:ascii="Cambria Math" w:hAnsi="Cambria Math"/>
                      </w:rPr>
                      <m:t xml:space="preserve">s</m:t>
                    </m:r>
                  </m:den>
                </m:f>
              </m:e>
            </m:d>
          </m:e>
          <m:sup>
            <m:r>
              <w:rPr>
                <w:rFonts w:ascii="Cambria Math" w:hAnsi="Cambria Math"/>
              </w:rPr>
              <m:t xml:space="preserve">0.35</m:t>
            </m:r>
          </m:sup>
        </m:sSup>
        <m:r>
          <w:rPr>
            <w:rFonts w:ascii="Cambria Math" w:hAnsi="Cambria Math"/>
          </w:rPr>
          <m:t xml:space="preserve">⋅</m:t>
        </m:r>
        <m:f>
          <m:num>
            <m:sSup>
              <m:e>
                <m:r>
                  <w:rPr>
                    <w:rFonts w:ascii="Cambria Math" w:hAnsi="Cambria Math"/>
                  </w:rPr>
                  <m:t xml:space="preserve">H</m:t>
                </m:r>
              </m:e>
              <m:sup>
                <m:r>
                  <w:rPr>
                    <w:rFonts w:ascii="Cambria Math" w:hAnsi="Cambria Math"/>
                  </w:rPr>
                  <m:t xml:space="preserve">0.07</m:t>
                </m:r>
              </m:sup>
            </m:sSup>
          </m:num>
          <m:den>
            <m:sSup>
              <m:e>
                <m:r>
                  <w:rPr>
                    <w:rFonts w:ascii="Cambria Math" w:hAnsi="Cambria Math"/>
                  </w:rPr>
                  <m:t xml:space="preserve">B</m:t>
                </m:r>
              </m:e>
              <m:sup>
                <m:r>
                  <w:rPr>
                    <w:rFonts w:ascii="Cambria Math" w:hAnsi="Cambria Math"/>
                  </w:rPr>
                  <m:t xml:space="preserve">0.09</m:t>
                </m:r>
              </m:sup>
            </m:sSup>
          </m:den>
        </m:f>
        <m:r>
          <w:rPr>
            <w:rFonts w:ascii="Cambria Math" w:hAnsi="Cambria Math"/>
          </w:rPr>
          <m:t xml:space="preserve">⋅</m:t>
        </m:r>
        <m:sSup>
          <m:e>
            <m:d>
              <m:dPr>
                <m:begChr m:val="("/>
                <m:endChr m:val=")"/>
              </m:dPr>
              <m:e>
                <m:f>
                  <m:num>
                    <m:r>
                      <w:rPr>
                        <w:rFonts w:ascii="Cambria Math" w:hAnsi="Cambria Math"/>
                      </w:rPr>
                      <m:t xml:space="preserve">Δτ</m:t>
                    </m:r>
                  </m:num>
                  <m:den>
                    <m:r>
                      <w:rPr>
                        <w:rFonts w:ascii="Cambria Math" w:hAnsi="Cambria Math"/>
                      </w:rPr>
                      <m:t xml:space="preserve">П</m:t>
                    </m:r>
                  </m:den>
                </m:f>
              </m:e>
            </m:d>
          </m:e>
          <m:sup>
            <m:r>
              <w:rPr>
                <w:rFonts w:ascii="Cambria Math" w:hAnsi="Cambria Math"/>
              </w:rPr>
              <m:t xml:space="preserve">0.13</m:t>
            </m:r>
          </m:sup>
        </m:sSup>
      </m:oMath>
    </w:p>
    <w:p>
      <w:pPr>
        <w:sectPr>
          <w:headerReference w:type="default" r:id="rId46"/>
          <w:footerReference w:type="default" r:id="rId47"/>
          <w:type w:val="nextPage"/>
          <w:pgSz w:w="11906" w:h="16838"/>
          <w:pgMar w:left="1134" w:right="567" w:header="1134" w:top="1693" w:footer="0" w:bottom="1134" w:gutter="0"/>
          <w:pgNumType w:fmt="decimal"/>
          <w:formProt w:val="false"/>
          <w:textDirection w:val="lrTb"/>
          <w:docGrid w:type="default" w:linePitch="360" w:charSpace="0"/>
        </w:sectPr>
        <w:pStyle w:val="A1"/>
        <w:rPr/>
      </w:pPr>
      <w:r>
        <w:rPr/>
        <w:t>Результаты расчета эффективного радиуса теплоснабжения для</w:t>
      </w:r>
      <w:r>
        <w:rPr>
          <w:spacing w:val="5"/>
        </w:rPr>
        <w:t xml:space="preserve"> </w:t>
      </w:r>
      <w:r>
        <w:rPr/>
        <w:t xml:space="preserve">источников тепловой энергии Камышловского городского округа приводятся в таблице </w:t>
      </w:r>
      <w:r>
        <w:rPr/>
        <w:fldChar w:fldCharType="begin"/>
      </w:r>
      <w:r>
        <w:rPr/>
        <w:instrText> REF _Ref50081652 \h </w:instrText>
      </w:r>
      <w:r>
        <w:rPr/>
        <w:fldChar w:fldCharType="separate"/>
      </w:r>
      <w:r>
        <w:rPr/>
        <w:t>Таблица 10</w:t>
      </w:r>
      <w:r>
        <w:rPr/>
        <w:fldChar w:fldCharType="end"/>
      </w:r>
      <w:r>
        <w:rPr/>
        <w:t xml:space="preserve">. Анализ результатов показывает, что ни одна система теплоснабжения источников тепловой энергии не функционирует за пределами радиуса эффективного теплоснабжения. </w:t>
      </w:r>
      <w:bookmarkStart w:id="92" w:name="_Ref495060233"/>
    </w:p>
    <w:p>
      <w:pPr>
        <w:pStyle w:val="Style85"/>
        <w:rPr/>
      </w:pPr>
      <w:bookmarkStart w:id="93" w:name="_Ref50081652"/>
      <w:bookmarkEnd w:id="92"/>
      <w:r>
        <w:rPr/>
        <w:t xml:space="preserve">Таблица </w:t>
      </w:r>
      <w:r>
        <w:rPr/>
        <w:fldChar w:fldCharType="begin"/>
      </w:r>
      <w:r>
        <w:rPr/>
        <w:instrText> SEQ Таблица \* ARABIC </w:instrText>
      </w:r>
      <w:r>
        <w:rPr/>
        <w:fldChar w:fldCharType="separate"/>
      </w:r>
      <w:r>
        <w:rPr/>
        <w:t>10</w:t>
      </w:r>
      <w:r>
        <w:rPr/>
        <w:fldChar w:fldCharType="end"/>
      </w:r>
      <w:bookmarkEnd w:id="93"/>
      <w:r>
        <w:rPr/>
        <w:t>. Результаты расчета эффективного радиуса теплоснабжения</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484"/>
        <w:gridCol w:w="2626"/>
        <w:gridCol w:w="1100"/>
        <w:gridCol w:w="1219"/>
        <w:gridCol w:w="1497"/>
        <w:gridCol w:w="1182"/>
        <w:gridCol w:w="1909"/>
        <w:gridCol w:w="1898"/>
        <w:gridCol w:w="1608"/>
        <w:gridCol w:w="1612"/>
      </w:tblGrid>
      <w:tr>
        <w:trPr>
          <w:tblHeader w:val="true"/>
          <w:trHeight w:val="1110" w:hRule="atLeast"/>
        </w:trPr>
        <w:tc>
          <w:tcPr>
            <w:tcW w:w="48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xml:space="preserve">№ </w:t>
            </w:r>
            <w:r>
              <w:rPr>
                <w:color w:val="000000"/>
                <w:sz w:val="20"/>
                <w:szCs w:val="20"/>
              </w:rPr>
              <w:t>п/п</w:t>
            </w:r>
          </w:p>
        </w:tc>
        <w:tc>
          <w:tcPr>
            <w:tcW w:w="262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Источник тепловой энергии</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Площадь зоны действия источника</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Количество объектов в зоне действия</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Подключенная нагрузка всех потребителей</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Среднее число абонентов на 1 км2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Расчетный перепад температур теплоносителя в тепловой сети</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Потери давления в тепловой сети</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Теплоплотность района</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Радиус оптимального теплоснабжения</w:t>
            </w:r>
          </w:p>
        </w:tc>
      </w:tr>
      <w:tr>
        <w:trPr>
          <w:tblHeader w:val="true"/>
          <w:trHeight w:val="270" w:hRule="atLeast"/>
        </w:trPr>
        <w:tc>
          <w:tcPr>
            <w:tcW w:w="48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r>
          </w:p>
        </w:tc>
        <w:tc>
          <w:tcPr>
            <w:tcW w:w="26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Qподкл</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B</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r>
              <w:rPr>
                <w:color w:val="000000"/>
                <w:sz w:val="20"/>
                <w:szCs w:val="20"/>
              </w:rPr>
              <w:t>τ</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H</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П</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Rопт</w:t>
            </w:r>
          </w:p>
        </w:tc>
      </w:tr>
      <w:tr>
        <w:trPr>
          <w:tblHeader w:val="true"/>
          <w:trHeight w:val="345" w:hRule="atLeast"/>
        </w:trPr>
        <w:tc>
          <w:tcPr>
            <w:tcW w:w="48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r>
          </w:p>
        </w:tc>
        <w:tc>
          <w:tcPr>
            <w:tcW w:w="26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км</w:t>
            </w:r>
            <w:r>
              <w:rPr>
                <w:color w:val="000000"/>
                <w:sz w:val="20"/>
                <w:szCs w:val="20"/>
                <w:vertAlign w:val="superscript"/>
              </w:rPr>
              <w:t>2</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ед.</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Гкал/ч</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шт/км</w:t>
            </w:r>
            <w:r>
              <w:rPr>
                <w:color w:val="000000"/>
                <w:sz w:val="20"/>
                <w:szCs w:val="20"/>
                <w:vertAlign w:val="superscript"/>
              </w:rPr>
              <w:t>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м.вод.ст</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Гкал/ч·км</w:t>
            </w:r>
            <w:r>
              <w:rPr>
                <w:color w:val="000000"/>
                <w:sz w:val="20"/>
                <w:szCs w:val="20"/>
                <w:vertAlign w:val="superscript"/>
              </w:rPr>
              <w:t>2</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км</w:t>
            </w:r>
          </w:p>
        </w:tc>
      </w:tr>
      <w:tr>
        <w:trPr>
          <w:trHeight w:val="264"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«Пролетарская»</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3,5</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119</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11,906</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34,00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3,40</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5,44</w:t>
            </w:r>
          </w:p>
        </w:tc>
      </w:tr>
      <w:tr>
        <w:trPr>
          <w:trHeight w:val="324"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«Железнодорожная»</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2,2</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92</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6,2663</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41,82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16</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2,85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4,87</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«К.Либкнехта 28</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0,029</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2,90</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«Стадион»</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40</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1,761</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133,33</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9</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5,87</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0,82</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"ЗСМ"</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2,8</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98</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9,514</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35,00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3,40</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4,35</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6</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«Р. Люксембург»</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0,59</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36</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3,032</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61,02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19</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5,14</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0,74</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«Константиновка»</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23</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2,407</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76,67</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13</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8,02</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0,94</w:t>
            </w:r>
          </w:p>
        </w:tc>
      </w:tr>
      <w:tr>
        <w:trPr>
          <w:trHeight w:val="255"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8</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«КГТТ»</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0,25</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1,953</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16,00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14</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7,81</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0,57</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«ПЛ-16»</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0,07</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0,321</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57,14</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4,58</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55"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«Школа №1»</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0,29</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15</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0,801</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51,72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2,76</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0,61</w:t>
            </w:r>
          </w:p>
        </w:tc>
      </w:tr>
      <w:tr>
        <w:trPr>
          <w:trHeight w:val="255"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«ОВД»</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0,02</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0,279</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14</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13,95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64"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12</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«Школа №7»</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0,03</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0,146</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66,67</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4,87</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324"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13</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«Школа №58»</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0,06</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5</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0,357</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83,33</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5,95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55"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14</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«Орбита»</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0,07</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0,188</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157,14</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18</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2,69</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0,39</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«Инженерный центр»</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0,32</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36</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2,117</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112,50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6,62</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0,87</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16</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«Плодопитомник»</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0,5</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37</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0,876</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74,00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14</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1,75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17</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«Сельэнерго»</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0,07</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5</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0,166</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71,43</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2,37</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18</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«Агроспецмонтаж»</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0,542</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55,00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2,71</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«ПДУ»</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0,33</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14</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0,314</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42,42</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0,95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0,44</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«Пригородный»</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0,294</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2,94</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0,25</w:t>
            </w:r>
          </w:p>
        </w:tc>
      </w:tr>
      <w:tr>
        <w:trPr>
          <w:trHeight w:val="264"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21</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«КЭЧ»</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0,05</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0,273</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5,46</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731"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22</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«Виток»</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3</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0,185</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9</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1,85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0,25</w:t>
            </w:r>
          </w:p>
        </w:tc>
      </w:tr>
      <w:tr>
        <w:trPr>
          <w:trHeight w:val="593"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23</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Котельная «Гор.баня»</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0,788</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110,00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17</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7,88</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0,44</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24</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Филиал № 2 ФГКУ "354 ВКГ" МО РФ</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н/д</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0,766</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 </w:t>
            </w:r>
            <w:r>
              <w:rPr>
                <w:color w:val="000000"/>
                <w:sz w:val="18"/>
                <w:szCs w:val="18"/>
              </w:rPr>
              <w:t>-</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7,66</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0,87</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25</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в/ч 75485</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н/д</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0,898</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 </w:t>
            </w:r>
            <w:r>
              <w:rPr>
                <w:color w:val="000000"/>
                <w:sz w:val="18"/>
                <w:szCs w:val="18"/>
              </w:rPr>
              <w:t>-</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8,98</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0,55</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26</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ОАО «РЖД»</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0,01</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0,224</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14</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22,40</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0,2</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27</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УИЗ</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2,9</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43</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4,508</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14,83</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20</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1,55</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2,61</w:t>
            </w:r>
          </w:p>
        </w:tc>
      </w:tr>
      <w:tr>
        <w:trPr>
          <w:trHeight w:val="288" w:hRule="atLeast"/>
        </w:trPr>
        <w:tc>
          <w:tcPr>
            <w:tcW w:w="4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28</w:t>
            </w:r>
          </w:p>
        </w:tc>
        <w:tc>
          <w:tcPr>
            <w:tcW w:w="26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ЛТЦ</w:t>
            </w:r>
          </w:p>
        </w:tc>
        <w:tc>
          <w:tcPr>
            <w:tcW w:w="11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0,05</w:t>
            </w:r>
          </w:p>
        </w:tc>
        <w:tc>
          <w:tcPr>
            <w:tcW w:w="12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4</w:t>
            </w:r>
          </w:p>
        </w:tc>
        <w:tc>
          <w:tcPr>
            <w:tcW w:w="14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0,187</w:t>
            </w:r>
          </w:p>
        </w:tc>
        <w:tc>
          <w:tcPr>
            <w:tcW w:w="11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80,00</w:t>
            </w:r>
          </w:p>
        </w:tc>
        <w:tc>
          <w:tcPr>
            <w:tcW w:w="19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w:t>
            </w:r>
          </w:p>
        </w:tc>
        <w:tc>
          <w:tcPr>
            <w:tcW w:w="18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18"/>
                <w:szCs w:val="18"/>
              </w:rPr>
            </w:pPr>
            <w:r>
              <w:rPr>
                <w:color w:val="000000"/>
                <w:sz w:val="18"/>
                <w:szCs w:val="18"/>
              </w:rPr>
              <w:t>11</w:t>
            </w:r>
          </w:p>
        </w:tc>
        <w:tc>
          <w:tcPr>
            <w:tcW w:w="160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3,74</w:t>
            </w:r>
          </w:p>
        </w:tc>
        <w:tc>
          <w:tcPr>
            <w:tcW w:w="16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1,98</w:t>
            </w:r>
          </w:p>
        </w:tc>
      </w:tr>
    </w:tbl>
    <w:p>
      <w:pPr>
        <w:sectPr>
          <w:headerReference w:type="default" r:id="rId48"/>
          <w:footerReference w:type="default" r:id="rId49"/>
          <w:type w:val="nextPage"/>
          <w:pgSz w:orient="landscape" w:w="16838" w:h="11906"/>
          <w:pgMar w:left="1134" w:right="567" w:header="1134" w:top="1693" w:footer="0" w:bottom="1134" w:gutter="0"/>
          <w:pgNumType w:fmt="decimal"/>
          <w:formProt w:val="false"/>
          <w:textDirection w:val="lrTb"/>
          <w:docGrid w:type="default" w:linePitch="360" w:charSpace="0"/>
        </w:sectPr>
      </w:pPr>
    </w:p>
    <w:p>
      <w:pPr>
        <w:pStyle w:val="148"/>
        <w:rPr/>
      </w:pPr>
      <w:bookmarkStart w:id="94" w:name="_Toc50093552"/>
      <w:bookmarkStart w:id="95" w:name="_Hlk80343931"/>
      <w:bookmarkEnd w:id="95"/>
      <w:r>
        <w:rPr/>
        <w:t>Раздел 3. Существующие и пе</w:t>
      </w:r>
      <w:r>
        <w:rPr>
          <w:rFonts w:eastAsia="Calibri" w:eastAsiaTheme="minorHAnsi"/>
        </w:rPr>
        <w:t>рспективные балансы теплоносителя</w:t>
      </w:r>
      <w:bookmarkEnd w:id="94"/>
    </w:p>
    <w:p>
      <w:pPr>
        <w:pStyle w:val="A1"/>
        <w:rPr/>
      </w:pPr>
      <w:r>
        <w:rPr/>
        <w:t xml:space="preserve">Перспективные балансы теплоносителя источников тепловой энергии Камышловского городского округа на расчетный срок приведены в таблице </w:t>
      </w:r>
      <w:r>
        <w:rPr/>
        <w:fldChar w:fldCharType="begin"/>
      </w:r>
      <w:r>
        <w:rPr/>
        <w:instrText> REF _Ref533096841 \h </w:instrText>
      </w:r>
      <w:r>
        <w:rPr/>
        <w:fldChar w:fldCharType="separate"/>
      </w:r>
      <w:r>
        <w:rPr/>
        <w:t>Таблица 11</w:t>
      </w:r>
      <w:r>
        <w:rPr/>
        <w:fldChar w:fldCharType="end"/>
      </w:r>
      <w:r>
        <w:rPr/>
        <w:t xml:space="preserve">. </w:t>
      </w:r>
    </w:p>
    <w:p>
      <w:pPr>
        <w:pStyle w:val="A1"/>
        <w:rPr/>
      </w:pPr>
      <w:r>
        <w:rPr/>
        <w:t>Анализ результатов наличия резервов/дефицитов теплоносителя в городском округе показывает, что дефициты на источниках тепловой энергии с установленными системами водоподготовки отсутствуют. Водоподготовку поселковых котельных рекомендуется организовывать при помощи реагентов (комплексонов), позволяющих снизить негативное влияние жесткой воды на трубопроводы систем теплоснабжения.</w:t>
      </w:r>
    </w:p>
    <w:p>
      <w:pPr>
        <w:pStyle w:val="Style85"/>
        <w:rPr/>
      </w:pPr>
      <w:r>
        <w:br w:type="column"/>
      </w:r>
      <w:bookmarkStart w:id="96" w:name="_Ref533096841"/>
      <w:bookmarkStart w:id="97" w:name="_Ref414263751"/>
      <w:r>
        <w:rPr/>
        <w:t xml:space="preserve">Таблица </w:t>
      </w:r>
      <w:r>
        <w:rPr/>
        <w:fldChar w:fldCharType="begin"/>
      </w:r>
      <w:r>
        <w:rPr/>
        <w:instrText> SEQ Таблица \* ARABIC </w:instrText>
      </w:r>
      <w:r>
        <w:rPr/>
        <w:fldChar w:fldCharType="separate"/>
      </w:r>
      <w:r>
        <w:rPr/>
        <w:t>11</w:t>
      </w:r>
      <w:r>
        <w:rPr/>
        <w:fldChar w:fldCharType="end"/>
      </w:r>
      <w:bookmarkEnd w:id="96"/>
      <w:bookmarkEnd w:id="97"/>
      <w:r>
        <w:rPr/>
        <w:t>. Перспективные балансы теплоносителя для подпитки на расчетный срок</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420"/>
        <w:gridCol w:w="1986"/>
        <w:gridCol w:w="1989"/>
        <w:gridCol w:w="851"/>
        <w:gridCol w:w="853"/>
        <w:gridCol w:w="851"/>
        <w:gridCol w:w="932"/>
        <w:gridCol w:w="771"/>
        <w:gridCol w:w="779"/>
        <w:gridCol w:w="772"/>
      </w:tblGrid>
      <w:tr>
        <w:trPr>
          <w:tblHeader w:val="true"/>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 xml:space="preserve">№ </w:t>
            </w:r>
            <w:r>
              <w:rPr>
                <w:sz w:val="20"/>
                <w:szCs w:val="20"/>
              </w:rPr>
              <w:t>п/п</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Объекты</w:t>
            </w:r>
          </w:p>
        </w:tc>
        <w:tc>
          <w:tcPr>
            <w:tcW w:w="1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Категория потребления</w:t>
            </w:r>
          </w:p>
        </w:tc>
        <w:tc>
          <w:tcPr>
            <w:tcW w:w="5809"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Баланс теплоносителя, т/ч</w:t>
            </w:r>
          </w:p>
        </w:tc>
      </w:tr>
      <w:tr>
        <w:trPr>
          <w:tblHeader w:val="true"/>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2022</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2023</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2024</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2025-2030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2031-2036</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«Пролетарская»</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19,900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19,900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19,900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19,900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«Железнодорожная»</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9,941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9,941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9,941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9,941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9,951</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9,951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9,951</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«К.Либкнехта 28»</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 xml:space="preserve">Котельная «Стадион» / </w:t>
              <w:br/>
              <w:t>БМК «Стадион»</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-0,134</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"ЗСМ"</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24,905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24,905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24,905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24,905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6</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w:t>
              <w:br/>
              <w:t xml:space="preserve"> «Р. Люксембург»</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-0,016</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7</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«Константиновка»</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0,022</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0,022</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1,985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1,978</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1,978</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1,978</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8</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«КГТТ»</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9</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«ПЛ-16»</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10</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«Школа №1»</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481"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11</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«ОВД»</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12</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 xml:space="preserve">Котельная </w:t>
              <w:br/>
              <w:t>«Школа №7»</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-0,009</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13</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w:t>
              <w:br/>
              <w:t xml:space="preserve"> «Школа №58»</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-0,037</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14</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«Орбита»</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-0,039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15</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«Инженерный центр»</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16</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«Плодопитомник»</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17</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«Сельэнерго»</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-0,049</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18</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«Агроспецмонтаж»</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19</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«ПДУ»</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20</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«Пригородный»</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431"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-0,007</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21</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«КЭЧ»</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505"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22</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«Виток»</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309"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-0,013</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23</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Котельная «Гор.баня»</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-0,008</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Филиал № 2 ФГКУ "354 ВКГ" МО РФ</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-0,050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в/ч 75485</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-0,015</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26</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ОАО «РЖД»</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-0,025</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27</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УИЗ</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0,270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4,730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28</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ЛТЦ</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29</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БМК Загородная</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4,000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0,095</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3,905</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3,905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3,905</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30</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БМК Боровая</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343"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2,990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2,990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2,990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31</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БМК Западная часть</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2,500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431"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2,480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2,480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2,480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32</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котельная Свердлова 49</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1,500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1,500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363"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1,490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1,490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33</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БМК Восточная часть</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6,000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0,020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309"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5,980</w:t>
            </w:r>
          </w:p>
        </w:tc>
      </w:tr>
      <w:tr>
        <w:trPr>
          <w:trHeight w:val="20" w:hRule="atLeast"/>
        </w:trPr>
        <w:tc>
          <w:tcPr>
            <w:tcW w:w="4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34</w:t>
            </w:r>
          </w:p>
        </w:tc>
        <w:tc>
          <w:tcPr>
            <w:tcW w:w="198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Новая БМК Горького 15</w:t>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Производительность ВПУ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8,000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8,000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8,000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подпитку</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0,390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0,390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0,011</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Расход на ГВС</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r>
      <w:tr>
        <w:trPr>
          <w:trHeight w:val="20" w:hRule="atLeast"/>
        </w:trPr>
        <w:tc>
          <w:tcPr>
            <w:tcW w:w="42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r>
          </w:p>
        </w:tc>
        <w:tc>
          <w:tcPr>
            <w:tcW w:w="198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Резерв/дефицит</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9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0,000</w:t>
            </w:r>
          </w:p>
        </w:tc>
        <w:tc>
          <w:tcPr>
            <w:tcW w:w="77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7,610</w:t>
            </w:r>
          </w:p>
        </w:tc>
        <w:tc>
          <w:tcPr>
            <w:tcW w:w="77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7,610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20"/>
                <w:szCs w:val="20"/>
              </w:rPr>
            </w:pPr>
            <w:r>
              <w:rPr>
                <w:sz w:val="20"/>
                <w:szCs w:val="20"/>
              </w:rPr>
              <w:t>7,989</w:t>
            </w:r>
          </w:p>
        </w:tc>
      </w:tr>
    </w:tbl>
    <w:p>
      <w:pPr>
        <w:pStyle w:val="Normal"/>
        <w:spacing w:lineRule="auto" w:line="276" w:before="120" w:after="200"/>
        <w:rPr>
          <w:b/>
          <w:b/>
          <w:bCs/>
          <w:sz w:val="28"/>
          <w:szCs w:val="28"/>
        </w:rPr>
      </w:pPr>
      <w:r>
        <w:rPr>
          <w:b/>
          <w:bCs/>
          <w:sz w:val="28"/>
          <w:szCs w:val="28"/>
        </w:rPr>
      </w:r>
      <w:r>
        <w:br w:type="page"/>
      </w:r>
    </w:p>
    <w:p>
      <w:pPr>
        <w:pStyle w:val="148"/>
        <w:rPr/>
      </w:pPr>
      <w:bookmarkStart w:id="98" w:name="_Toc50093553"/>
      <w:r>
        <w:rPr/>
        <w:t>Раздел 4. Основные положения мастер-плана развития систем теплоснабжения</w:t>
      </w:r>
      <w:bookmarkEnd w:id="98"/>
    </w:p>
    <w:p>
      <w:pPr>
        <w:pStyle w:val="A1"/>
        <w:rPr/>
      </w:pPr>
      <w:r>
        <w:rPr/>
        <w:t xml:space="preserve">Прогноз спроса на тепловую энергию для перспективной застройки Камышловского городского округа на период до 2036 г. определялся по данным генерального плана городского округа, генеральных планов населенных пунктов, а также на основании утвержденных проектов планировки и межевания территорий. По предоставленным данным численность населения городского округа снижается с 2018 года. </w:t>
      </w:r>
    </w:p>
    <w:p>
      <w:pPr>
        <w:pStyle w:val="A1"/>
        <w:rPr/>
      </w:pPr>
      <w:r>
        <w:rPr/>
        <w:t xml:space="preserve">Динамика численности населения приведена в таблице </w:t>
      </w:r>
      <w:r>
        <w:rPr/>
        <w:fldChar w:fldCharType="begin"/>
      </w:r>
      <w:r>
        <w:rPr/>
        <w:instrText> REF _Ref531878667 \h </w:instrText>
      </w:r>
      <w:r>
        <w:rPr/>
        <w:fldChar w:fldCharType="separate"/>
      </w:r>
      <w:r>
        <w:rPr/>
        <w:t>Таблица 12</w:t>
      </w:r>
      <w:r>
        <w:rPr/>
        <w:fldChar w:fldCharType="end"/>
      </w:r>
      <w:r>
        <w:rPr/>
        <w:t>.</w:t>
      </w:r>
    </w:p>
    <w:p>
      <w:pPr>
        <w:pStyle w:val="Style85"/>
        <w:rPr/>
      </w:pPr>
      <w:bookmarkStart w:id="99" w:name="_Ref531878667"/>
      <w:r>
        <w:rPr/>
        <w:t xml:space="preserve">Таблица </w:t>
      </w:r>
      <w:r>
        <w:rPr/>
        <w:fldChar w:fldCharType="begin"/>
      </w:r>
      <w:r>
        <w:rPr/>
        <w:instrText> SEQ Таблица \* ARABIC </w:instrText>
      </w:r>
      <w:r>
        <w:rPr/>
        <w:fldChar w:fldCharType="separate"/>
      </w:r>
      <w:r>
        <w:rPr/>
        <w:t>12</w:t>
      </w:r>
      <w:r>
        <w:rPr/>
        <w:fldChar w:fldCharType="end"/>
      </w:r>
      <w:bookmarkEnd w:id="99"/>
      <w:r>
        <w:rPr/>
        <w:t>. Динамика численности населения</w:t>
      </w:r>
    </w:p>
    <w:tbl>
      <w:tblPr>
        <w:tblW w:w="10808" w:type="dxa"/>
        <w:jc w:val="left"/>
        <w:tblInd w:w="-459" w:type="dxa"/>
        <w:tblCellMar>
          <w:top w:w="0" w:type="dxa"/>
          <w:left w:w="108" w:type="dxa"/>
          <w:bottom w:w="0" w:type="dxa"/>
          <w:right w:w="108" w:type="dxa"/>
        </w:tblCellMar>
        <w:tblLook w:firstRow="1" w:noVBand="1" w:lastRow="0" w:firstColumn="1" w:lastColumn="0" w:noHBand="0" w:val="04a0"/>
      </w:tblPr>
      <w:tblGrid>
        <w:gridCol w:w="1756"/>
        <w:gridCol w:w="1074"/>
        <w:gridCol w:w="1000"/>
        <w:gridCol w:w="992"/>
        <w:gridCol w:w="1220"/>
        <w:gridCol w:w="1011"/>
        <w:gridCol w:w="2"/>
        <w:gridCol w:w="874"/>
        <w:gridCol w:w="1009"/>
        <w:gridCol w:w="2"/>
        <w:gridCol w:w="872"/>
        <w:gridCol w:w="995"/>
      </w:tblGrid>
      <w:tr>
        <w:trPr>
          <w:trHeight w:val="323" w:hRule="atLeast"/>
        </w:trPr>
        <w:tc>
          <w:tcPr>
            <w:tcW w:w="175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Год</w:t>
            </w:r>
          </w:p>
        </w:tc>
        <w:tc>
          <w:tcPr>
            <w:tcW w:w="1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2018</w:t>
            </w:r>
          </w:p>
        </w:tc>
        <w:tc>
          <w:tcPr>
            <w:tcW w:w="10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2019</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2020</w:t>
            </w:r>
          </w:p>
        </w:tc>
        <w:tc>
          <w:tcPr>
            <w:tcW w:w="223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2025</w:t>
            </w:r>
          </w:p>
        </w:tc>
        <w:tc>
          <w:tcPr>
            <w:tcW w:w="188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2031</w:t>
            </w:r>
          </w:p>
        </w:tc>
        <w:tc>
          <w:tcPr>
            <w:tcW w:w="186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2036</w:t>
            </w:r>
          </w:p>
        </w:tc>
      </w:tr>
      <w:tr>
        <w:trPr>
          <w:trHeight w:val="323" w:hRule="atLeast"/>
        </w:trPr>
        <w:tc>
          <w:tcPr>
            <w:tcW w:w="17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2"/>
              </w:rPr>
            </w:pPr>
            <w:r>
              <w:rPr>
                <w:color w:val="000000"/>
                <w:sz w:val="22"/>
              </w:rPr>
            </w:r>
          </w:p>
        </w:tc>
        <w:tc>
          <w:tcPr>
            <w:tcW w:w="1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факт</w:t>
            </w:r>
          </w:p>
        </w:tc>
        <w:tc>
          <w:tcPr>
            <w:tcW w:w="10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факт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факт</w:t>
            </w:r>
          </w:p>
        </w:tc>
        <w:tc>
          <w:tcPr>
            <w:tcW w:w="12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Инерц.</w:t>
            </w:r>
          </w:p>
        </w:tc>
        <w:tc>
          <w:tcPr>
            <w:tcW w:w="1013"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Базовый</w:t>
            </w:r>
          </w:p>
        </w:tc>
        <w:tc>
          <w:tcPr>
            <w:tcW w:w="8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Инерц.</w:t>
            </w:r>
          </w:p>
        </w:tc>
        <w:tc>
          <w:tcPr>
            <w:tcW w:w="101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Базовый</w:t>
            </w:r>
          </w:p>
        </w:tc>
        <w:tc>
          <w:tcPr>
            <w:tcW w:w="8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Инерц.</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Базовый</w:t>
            </w:r>
          </w:p>
        </w:tc>
      </w:tr>
      <w:tr>
        <w:trPr>
          <w:trHeight w:val="970" w:hRule="atLeast"/>
        </w:trPr>
        <w:tc>
          <w:tcPr>
            <w:tcW w:w="17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Население Камышловского городского округа</w:t>
            </w:r>
          </w:p>
        </w:tc>
        <w:tc>
          <w:tcPr>
            <w:tcW w:w="1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26444</w:t>
            </w:r>
          </w:p>
        </w:tc>
        <w:tc>
          <w:tcPr>
            <w:tcW w:w="10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26317</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25843</w:t>
            </w:r>
          </w:p>
        </w:tc>
        <w:tc>
          <w:tcPr>
            <w:tcW w:w="12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24143</w:t>
            </w:r>
          </w:p>
        </w:tc>
        <w:tc>
          <w:tcPr>
            <w:tcW w:w="1013"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25696</w:t>
            </w:r>
          </w:p>
        </w:tc>
        <w:tc>
          <w:tcPr>
            <w:tcW w:w="8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22590</w:t>
            </w:r>
          </w:p>
        </w:tc>
        <w:tc>
          <w:tcPr>
            <w:tcW w:w="101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25696</w:t>
            </w:r>
          </w:p>
        </w:tc>
        <w:tc>
          <w:tcPr>
            <w:tcW w:w="87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21037</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2"/>
              </w:rPr>
            </w:pPr>
            <w:r>
              <w:rPr>
                <w:color w:val="000000"/>
                <w:sz w:val="22"/>
              </w:rPr>
              <w:t>25696</w:t>
            </w:r>
          </w:p>
        </w:tc>
      </w:tr>
    </w:tbl>
    <w:p>
      <w:pPr>
        <w:pStyle w:val="A1"/>
        <w:spacing w:before="240" w:after="0"/>
        <w:contextualSpacing/>
        <w:rPr/>
      </w:pPr>
      <w:r>
        <w:rPr/>
        <w:t xml:space="preserve">В схеме теплоснабжения рассматриваются два варианта развития систем теплоснабжения Камышловского городского округа. </w:t>
      </w:r>
    </w:p>
    <w:p>
      <w:pPr>
        <w:pStyle w:val="A1"/>
        <w:rPr/>
      </w:pPr>
      <w:r>
        <w:rPr/>
        <w:t xml:space="preserve">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замедление динамики оттока населения с последующим приростом. Реализуются планы перспективной застройки и строительства новых источников тепловой энергии (по одному из предложенных вариантов). </w:t>
      </w:r>
    </w:p>
    <w:p>
      <w:pPr>
        <w:pStyle w:val="A1"/>
        <w:rPr/>
      </w:pPr>
      <w:r>
        <w:rPr/>
        <w:t>В ходе реализации мероприятий по модернизации систем теплоснабжения:</w:t>
      </w:r>
    </w:p>
    <w:p>
      <w:pPr>
        <w:pStyle w:val="A1"/>
        <w:numPr>
          <w:ilvl w:val="0"/>
          <w:numId w:val="5"/>
        </w:numPr>
        <w:tabs>
          <w:tab w:val="clear" w:pos="709"/>
          <w:tab w:val="left" w:pos="1134" w:leader="none"/>
        </w:tabs>
        <w:ind w:left="0" w:firstLine="567"/>
        <w:rPr/>
      </w:pPr>
      <w:r>
        <w:rPr/>
        <w:t>Производится вывод из эксплуатации неэффективных твёрдотопливных котельных с учетом перевода потребителей на газовые котельные;</w:t>
      </w:r>
    </w:p>
    <w:p>
      <w:pPr>
        <w:pStyle w:val="A1"/>
        <w:numPr>
          <w:ilvl w:val="0"/>
          <w:numId w:val="5"/>
        </w:numPr>
        <w:tabs>
          <w:tab w:val="clear" w:pos="709"/>
          <w:tab w:val="left" w:pos="1134" w:leader="none"/>
        </w:tabs>
        <w:ind w:left="0" w:firstLine="567"/>
        <w:rPr/>
      </w:pPr>
      <w:r>
        <w:rPr/>
        <w:t>Внедряются балансировочные клапана для возможности ручной наладки систем теплоснабжения;</w:t>
      </w:r>
    </w:p>
    <w:p>
      <w:pPr>
        <w:pStyle w:val="A1"/>
        <w:numPr>
          <w:ilvl w:val="0"/>
          <w:numId w:val="5"/>
        </w:numPr>
        <w:tabs>
          <w:tab w:val="clear" w:pos="709"/>
          <w:tab w:val="left" w:pos="1134" w:leader="none"/>
        </w:tabs>
        <w:ind w:left="0" w:firstLine="567"/>
        <w:rPr/>
      </w:pPr>
      <w:r>
        <w:rPr/>
        <w:t>Производится замена ветхих тепловых сетей для обеспечения нормативных уровней надежности;</w:t>
      </w:r>
    </w:p>
    <w:p>
      <w:pPr>
        <w:pStyle w:val="A1"/>
        <w:numPr>
          <w:ilvl w:val="0"/>
          <w:numId w:val="5"/>
        </w:numPr>
        <w:tabs>
          <w:tab w:val="clear" w:pos="709"/>
          <w:tab w:val="left" w:pos="1134" w:leader="none"/>
        </w:tabs>
        <w:ind w:left="0" w:firstLine="567"/>
        <w:rPr/>
      </w:pPr>
      <w:r>
        <w:rPr/>
        <w:t>Внедряется система диспетчеризации источников тепловой энергии на территории городского округа;</w:t>
      </w:r>
    </w:p>
    <w:p>
      <w:pPr>
        <w:pStyle w:val="A1"/>
        <w:numPr>
          <w:ilvl w:val="0"/>
          <w:numId w:val="5"/>
        </w:numPr>
        <w:tabs>
          <w:tab w:val="clear" w:pos="709"/>
          <w:tab w:val="left" w:pos="1134" w:leader="none"/>
        </w:tabs>
        <w:ind w:left="0" w:firstLine="567"/>
        <w:rPr/>
      </w:pPr>
      <w:r>
        <w:rPr/>
        <w:t>Производится строительство котельной БМК Горького 11 МВт;</w:t>
      </w:r>
    </w:p>
    <w:p>
      <w:pPr>
        <w:pStyle w:val="A1"/>
        <w:numPr>
          <w:ilvl w:val="0"/>
          <w:numId w:val="5"/>
        </w:numPr>
        <w:tabs>
          <w:tab w:val="clear" w:pos="709"/>
          <w:tab w:val="left" w:pos="1134" w:leader="none"/>
        </w:tabs>
        <w:ind w:left="0" w:firstLine="567"/>
        <w:rPr/>
      </w:pPr>
      <w:r>
        <w:rPr/>
        <w:t>Производится строительство котельной БМК Загородная 12 МВт;</w:t>
      </w:r>
    </w:p>
    <w:p>
      <w:pPr>
        <w:pStyle w:val="A1"/>
        <w:numPr>
          <w:ilvl w:val="0"/>
          <w:numId w:val="5"/>
        </w:numPr>
        <w:tabs>
          <w:tab w:val="clear" w:pos="709"/>
          <w:tab w:val="left" w:pos="1134" w:leader="none"/>
        </w:tabs>
        <w:ind w:left="0" w:firstLine="567"/>
        <w:rPr/>
      </w:pPr>
      <w:r>
        <w:rPr/>
        <w:t>Производится строительство новой БМК Боровая не менее 15 Гкал/ч.</w:t>
      </w:r>
    </w:p>
    <w:p>
      <w:pPr>
        <w:pStyle w:val="A1"/>
        <w:rPr/>
      </w:pPr>
      <w:r>
        <w:rPr/>
        <w:t>В соответствии со вторым сценарием (инерционным) сохраняется динамика снижения численности населения, реализуются только ключевые мероприятия по развитию и модернизации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Ключевыми мероприятиями являются мероприятия, обеспечивающие повышение уровня надежности систем теплоснабжения, а также мероприятия по исключению избыточных тепловых потерь на магистральных тепловых сетях. При этом в связи с отсутствием финансирования переход на «закрытую» схему организации теплоснабжения откладывается до момента изыскания финансовых средств на неопределенный срок вопреки требованиям федерального законодательства.</w:t>
      </w:r>
    </w:p>
    <w:p>
      <w:pPr>
        <w:pStyle w:val="A1"/>
        <w:rPr/>
      </w:pPr>
      <w:r>
        <w:rPr/>
        <w:t>Ключевыми параметрами сравнения вариантов развития являются:</w:t>
      </w:r>
    </w:p>
    <w:p>
      <w:pPr>
        <w:pStyle w:val="Style92"/>
        <w:numPr>
          <w:ilvl w:val="0"/>
          <w:numId w:val="4"/>
        </w:numPr>
        <w:spacing w:lineRule="auto" w:line="276"/>
        <w:ind w:left="0" w:firstLine="567"/>
        <w:rPr/>
      </w:pPr>
      <w:r>
        <w:rPr/>
        <w:t>Перспективная численность населения;</w:t>
      </w:r>
    </w:p>
    <w:p>
      <w:pPr>
        <w:pStyle w:val="Style92"/>
        <w:numPr>
          <w:ilvl w:val="0"/>
          <w:numId w:val="4"/>
        </w:numPr>
        <w:spacing w:lineRule="auto" w:line="276"/>
        <w:ind w:left="0" w:firstLine="567"/>
        <w:rPr/>
      </w:pPr>
      <w:r>
        <w:rPr/>
        <w:t>Реализация проектов перспективной застройки;</w:t>
      </w:r>
    </w:p>
    <w:p>
      <w:pPr>
        <w:pStyle w:val="Style92"/>
        <w:numPr>
          <w:ilvl w:val="0"/>
          <w:numId w:val="4"/>
        </w:numPr>
        <w:spacing w:lineRule="auto" w:line="276"/>
        <w:ind w:left="0" w:firstLine="567"/>
        <w:rPr/>
      </w:pPr>
      <w:r>
        <w:rPr/>
        <w:t>Суммарная стоимость реализации мероприятий по модернизации и реконструкции;</w:t>
      </w:r>
    </w:p>
    <w:p>
      <w:pPr>
        <w:pStyle w:val="Style92"/>
        <w:numPr>
          <w:ilvl w:val="0"/>
          <w:numId w:val="4"/>
        </w:numPr>
        <w:spacing w:lineRule="auto" w:line="276"/>
        <w:ind w:left="0" w:firstLine="567"/>
        <w:rPr/>
      </w:pPr>
      <w:r>
        <w:rPr/>
        <w:t>Суммарная подключенная договорная нагрузка;</w:t>
      </w:r>
    </w:p>
    <w:p>
      <w:pPr>
        <w:pStyle w:val="Style92"/>
        <w:numPr>
          <w:ilvl w:val="0"/>
          <w:numId w:val="4"/>
        </w:numPr>
        <w:spacing w:lineRule="auto" w:line="276"/>
        <w:ind w:left="0" w:firstLine="567"/>
        <w:rPr/>
      </w:pPr>
      <w:r>
        <w:rPr/>
        <w:t>Возможность бюджетного субсидирования проектов;</w:t>
      </w:r>
    </w:p>
    <w:p>
      <w:pPr>
        <w:pStyle w:val="Style92"/>
        <w:numPr>
          <w:ilvl w:val="0"/>
          <w:numId w:val="4"/>
        </w:numPr>
        <w:spacing w:lineRule="auto" w:line="276"/>
        <w:ind w:left="0" w:firstLine="567"/>
        <w:rPr/>
      </w:pPr>
      <w:r>
        <w:rPr/>
        <w:t>Обеспечение надежности функционирования систем теплоснабжения;</w:t>
      </w:r>
    </w:p>
    <w:p>
      <w:pPr>
        <w:pStyle w:val="Style92"/>
        <w:numPr>
          <w:ilvl w:val="0"/>
          <w:numId w:val="4"/>
        </w:numPr>
        <w:spacing w:lineRule="auto" w:line="276"/>
        <w:ind w:left="0" w:firstLine="567"/>
        <w:rPr/>
      </w:pPr>
      <w:r>
        <w:rPr/>
        <w:t>Строительство котельной БМК</w:t>
      </w:r>
      <w:r>
        <w:rPr>
          <w:rFonts w:eastAsia="Calibri" w:eastAsiaTheme="minorHAnsi"/>
          <w:lang w:eastAsia="ar-SA"/>
        </w:rPr>
        <w:t xml:space="preserve"> Горького 9 МВт;</w:t>
      </w:r>
    </w:p>
    <w:p>
      <w:pPr>
        <w:pStyle w:val="Style92"/>
        <w:numPr>
          <w:ilvl w:val="0"/>
          <w:numId w:val="4"/>
        </w:numPr>
        <w:spacing w:lineRule="auto" w:line="276"/>
        <w:ind w:left="0" w:firstLine="567"/>
        <w:rPr/>
      </w:pPr>
      <w:r>
        <w:rPr/>
        <w:t>Строительство котельной БМК Загородная 9 МВт;</w:t>
      </w:r>
    </w:p>
    <w:p>
      <w:pPr>
        <w:pStyle w:val="Style92"/>
        <w:numPr>
          <w:ilvl w:val="0"/>
          <w:numId w:val="4"/>
        </w:numPr>
        <w:spacing w:lineRule="auto" w:line="276"/>
        <w:ind w:left="0" w:firstLine="567"/>
        <w:rPr/>
      </w:pPr>
      <w:r>
        <w:rPr/>
        <w:t>Строительство новой БМК Боровая 7 МВт.</w:t>
      </w:r>
    </w:p>
    <w:p>
      <w:pPr>
        <w:pStyle w:val="A1"/>
        <w:rPr/>
      </w:pPr>
      <w:r>
        <w:rPr/>
        <w:t xml:space="preserve">Сравнение вариантов развития по данным критериям представлено в таблице </w:t>
      </w:r>
      <w:r>
        <w:rPr/>
        <w:fldChar w:fldCharType="begin"/>
      </w:r>
      <w:r>
        <w:rPr/>
        <w:instrText> REF _Ref533010923 \h </w:instrText>
      </w:r>
      <w:r>
        <w:rPr/>
        <w:fldChar w:fldCharType="separate"/>
      </w:r>
      <w:r>
        <w:rPr/>
        <w:t>Таблица 13</w:t>
      </w:r>
      <w:r>
        <w:rPr/>
        <w:fldChar w:fldCharType="end"/>
      </w:r>
      <w:r>
        <w:rPr/>
        <w:t>.</w:t>
      </w:r>
    </w:p>
    <w:p>
      <w:pPr>
        <w:pStyle w:val="Style85"/>
        <w:rPr/>
      </w:pPr>
      <w:bookmarkStart w:id="100" w:name="_Ref533010923"/>
      <w:r>
        <w:rPr/>
        <w:t xml:space="preserve">Таблица </w:t>
      </w:r>
      <w:r>
        <w:rPr/>
        <w:fldChar w:fldCharType="begin"/>
      </w:r>
      <w:r>
        <w:rPr/>
        <w:instrText> SEQ Таблица \* ARABIC </w:instrText>
      </w:r>
      <w:r>
        <w:rPr/>
        <w:fldChar w:fldCharType="separate"/>
      </w:r>
      <w:r>
        <w:rPr/>
        <w:t>13</w:t>
      </w:r>
      <w:r>
        <w:rPr/>
        <w:fldChar w:fldCharType="end"/>
      </w:r>
      <w:bookmarkEnd w:id="100"/>
      <w:r>
        <w:rPr/>
        <w:t>. Сравнение вариантов развития</w:t>
      </w:r>
    </w:p>
    <w:tbl>
      <w:tblPr>
        <w:tblW w:w="10206" w:type="dxa"/>
        <w:jc w:val="left"/>
        <w:tblInd w:w="-5" w:type="dxa"/>
        <w:tblCellMar>
          <w:top w:w="0" w:type="dxa"/>
          <w:left w:w="108" w:type="dxa"/>
          <w:bottom w:w="0" w:type="dxa"/>
          <w:right w:w="108" w:type="dxa"/>
        </w:tblCellMar>
        <w:tblLook w:firstRow="1" w:noVBand="1" w:lastRow="0" w:firstColumn="1" w:lastColumn="0" w:noHBand="0" w:val="04a0"/>
      </w:tblPr>
      <w:tblGrid>
        <w:gridCol w:w="6096"/>
        <w:gridCol w:w="1984"/>
        <w:gridCol w:w="2126"/>
      </w:tblGrid>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Критерий</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Базовый вариант развития</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Инерционный</w:t>
              <w:br/>
              <w:t xml:space="preserve"> вариант развития</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Перспективная численность населения на 2036 г., чел</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sz w:val="22"/>
              </w:rPr>
              <w:t>29154</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sz w:val="22"/>
              </w:rPr>
              <w:t>21037</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Реализация проектов перспективной застройки</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t>Возможность бюджетного субсидирования проектов</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Суммарная стоимость реализации мероприятий, тыс. руб.</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t>1 111,2</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633,5</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Суммарная подключенная договорная нагрузка на расчетный срок, Гкал/ч</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91,58</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71,15</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Возможность бюджетного субсидирования проектов</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1032"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Обеспечение надежности функционирования систем теплоснабжения (мероприятия по установке балансировочных клапанов, замена ветхих тепловых сетей и т.д.)</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highlight w:val="yellow"/>
              </w:rPr>
            </w:pPr>
            <w:r>
              <w:rPr/>
              <w:t>Строительство котельной БМК</w:t>
            </w:r>
            <w:r>
              <w:rPr>
                <w:rFonts w:eastAsia="Calibri" w:eastAsiaTheme="minorHAnsi"/>
                <w:lang w:eastAsia="ar-SA"/>
              </w:rPr>
              <w:t xml:space="preserve"> Горького 9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highlight w:val="yellow"/>
              </w:rPr>
            </w:pPr>
            <w:r>
              <w:rPr/>
              <w:t>Строительство котельной БМК Загородная 9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highlight w:val="yellow"/>
              </w:rPr>
            </w:pPr>
            <w:r>
              <w:rPr/>
              <w:t>Строительство новой БМК Боровая 7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rPr>
            </w:pPr>
            <w:r>
              <w:rPr>
                <w:color w:val="000000"/>
              </w:rPr>
              <w:t>-</w:t>
            </w:r>
          </w:p>
        </w:tc>
      </w:tr>
    </w:tbl>
    <w:p>
      <w:pPr>
        <w:pStyle w:val="A1"/>
        <w:rPr/>
      </w:pPr>
      <w:r>
        <w:rPr/>
        <w:t>Анализ ценовых (тарифных) последствий представлен в Разделе 15 настоящего документа. Ценовые (тарифные) последствия для населения Камышловского городского округа на перспективу до 2036 года для оптимистичного и пессимистичного вариантов развития являются одинаковыми в связи с отсутствием мероприятий, предполагающих наличие инвестиционной тарифной надбавки.</w:t>
      </w:r>
    </w:p>
    <w:p>
      <w:pPr>
        <w:pStyle w:val="A1"/>
        <w:rPr>
          <w:b/>
          <w:b/>
          <w:bCs/>
        </w:rPr>
      </w:pPr>
      <w:bookmarkStart w:id="101" w:name="_Hlk8034513"/>
      <w:r>
        <w:rPr/>
        <w:t>Для дальнейшей оценки принят базовый сценарий градостроительного развития городского округа исходя из максимальной емкости территорий, максимальной численности населения, а также с точки зрения обеспечения наиболее сложного варианта организации гидравлических режимов (максимальной тепловой нагрузки).</w:t>
      </w:r>
      <w:bookmarkEnd w:id="101"/>
      <w:r>
        <w:br w:type="page"/>
      </w:r>
    </w:p>
    <w:p>
      <w:pPr>
        <w:pStyle w:val="148"/>
        <w:rPr/>
      </w:pPr>
      <w:bookmarkStart w:id="102" w:name="_Toc50093554"/>
      <w:r>
        <w:rPr/>
        <w:t>Раздел 5. Предложения по строительству, реконструкции и техническому перевооружению источников тепловой энергии</w:t>
      </w:r>
      <w:bookmarkEnd w:id="102"/>
    </w:p>
    <w:p>
      <w:pPr>
        <w:pStyle w:val="229"/>
        <w:rPr/>
      </w:pPr>
      <w:bookmarkStart w:id="103" w:name="_Toc50093555"/>
      <w:bookmarkStart w:id="104" w:name="_Toc50087569"/>
      <w:bookmarkStart w:id="105" w:name="_Toc437278351"/>
      <w:r>
        <w:rPr/>
        <w:t>5.1 Определение условий организации централизованного теплоснабжения, индивидуального теплоснабжения, а также поквартирного отопления</w:t>
      </w:r>
      <w:bookmarkEnd w:id="103"/>
      <w:bookmarkEnd w:id="104"/>
      <w:bookmarkEnd w:id="105"/>
    </w:p>
    <w:p>
      <w:pPr>
        <w:pStyle w:val="A1"/>
        <w:rPr/>
      </w:pPr>
      <w:r>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pPr>
        <w:pStyle w:val="A1"/>
        <w:rPr/>
      </w:pPr>
      <w:r>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pPr>
        <w:pStyle w:val="A1"/>
        <w:rPr/>
      </w:pPr>
      <w:r>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pPr>
        <w:pStyle w:val="229"/>
        <w:rPr>
          <w:rFonts w:eastAsia="" w:eastAsiaTheme="minorEastAsia"/>
        </w:rPr>
      </w:pPr>
      <w:bookmarkStart w:id="106" w:name="_Toc437278352"/>
      <w:bookmarkStart w:id="107" w:name="_Toc50093556"/>
      <w:bookmarkStart w:id="108" w:name="_Toc50087570"/>
      <w:r>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07"/>
      <w:bookmarkEnd w:id="108"/>
    </w:p>
    <w:p>
      <w:pPr>
        <w:pStyle w:val="A1"/>
        <w:rPr/>
      </w:pPr>
      <w:r>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Камышловского городского округа отсутствуют.</w:t>
      </w:r>
    </w:p>
    <w:p>
      <w:pPr>
        <w:pStyle w:val="229"/>
        <w:rPr/>
      </w:pPr>
      <w:bookmarkStart w:id="109" w:name="_Toc50093557"/>
      <w:bookmarkStart w:id="110" w:name="_Toc50087571"/>
      <w:r>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bookmarkEnd w:id="109"/>
      <w:bookmarkEnd w:id="110"/>
    </w:p>
    <w:p>
      <w:pPr>
        <w:pStyle w:val="A1"/>
        <w:rPr/>
      </w:pPr>
      <w:r>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Камышловского городского округа отсутствуют.</w:t>
      </w:r>
    </w:p>
    <w:p>
      <w:pPr>
        <w:pStyle w:val="229"/>
        <w:rPr/>
      </w:pPr>
      <w:bookmarkStart w:id="111" w:name="_Toc50093558"/>
      <w:bookmarkStart w:id="112" w:name="_Toc50087572"/>
      <w:r>
        <w:rPr/>
        <w:t>5.4 О</w:t>
      </w:r>
      <w:r>
        <w:rPr>
          <w:rFonts w:eastAsia="" w:eastAsiaTheme="minorEastAsia"/>
        </w:rPr>
        <w:t>боснование предлагаемых для строительства и реконструкции источников тепловой энергии</w:t>
      </w:r>
      <w:bookmarkEnd w:id="106"/>
      <w:bookmarkEnd w:id="111"/>
      <w:bookmarkEnd w:id="112"/>
    </w:p>
    <w:p>
      <w:pPr>
        <w:pStyle w:val="ZZZ1"/>
        <w:ind w:left="567" w:firstLine="567"/>
        <w:rPr/>
      </w:pPr>
      <w:bookmarkStart w:id="113" w:name="_Hlk49896436"/>
      <w:bookmarkEnd w:id="113"/>
      <w:r>
        <w:rPr/>
        <w:t xml:space="preserve">Котельная «Инженерный центр», </w:t>
      </w:r>
      <w:r>
        <w:rPr>
          <w:rFonts w:eastAsia="Calibri" w:eastAsiaTheme="minorHAnsi"/>
        </w:rPr>
        <w:t>«Железнодорожная» и «ЗХК»</w:t>
      </w:r>
    </w:p>
    <w:p>
      <w:pPr>
        <w:pStyle w:val="A1"/>
        <w:rPr>
          <w:b/>
          <w:b/>
          <w:bCs/>
        </w:rPr>
      </w:pPr>
      <w:bookmarkStart w:id="114" w:name="_Hlk49896479"/>
      <w:bookmarkStart w:id="115" w:name="_Hlk498964361"/>
      <w:bookmarkEnd w:id="115"/>
      <w:r>
        <w:rPr/>
        <w:t xml:space="preserve">Для обеспечения тепловой энергией потребителей неэффективной котельной «Инженерный центр», </w:t>
      </w:r>
      <w:r>
        <w:rPr>
          <w:rFonts w:eastAsia="Calibri" w:eastAsiaTheme="minorHAnsi"/>
        </w:rPr>
        <w:t>части потребителей котельных «Железнодорожная» и «ЗХК»,</w:t>
      </w:r>
      <w:r>
        <w:rPr/>
        <w:t xml:space="preserve"> планируемого торгового центра, предполагается строительство блочно – модульной газовой котельной установленной мощностью 9 МВт с инженерными сетями и подводящим газопроводом</w:t>
      </w:r>
      <w:r>
        <w:rPr>
          <w:rFonts w:eastAsia="Calibri" w:eastAsiaTheme="minorHAnsi"/>
        </w:rPr>
        <w:t xml:space="preserve"> по адресу ул. М. Горького, 15, рядом с существующим тепловым пунктом</w:t>
      </w:r>
      <w:r>
        <w:rPr/>
        <w:t xml:space="preserve">. </w:t>
      </w:r>
    </w:p>
    <w:p>
      <w:pPr>
        <w:pStyle w:val="A1"/>
        <w:rPr>
          <w:rStyle w:val="A"/>
        </w:rPr>
      </w:pPr>
      <w:r>
        <w:rPr>
          <w:rStyle w:val="A"/>
        </w:rPr>
        <w:t xml:space="preserve">Ориентировочная протяженность нового газопровода – 250 м. Водоснабжение котельной запланировано от хозяйственно-питьевого водопровода, необходимость реконструкции существующих инженерных сетей определить проектом. </w:t>
      </w:r>
    </w:p>
    <w:p>
      <w:pPr>
        <w:pStyle w:val="Style139"/>
        <w:rPr/>
      </w:pPr>
      <w:r>
        <w:rPr/>
        <w:drawing>
          <wp:inline distT="0" distB="0" distL="0" distR="0">
            <wp:extent cx="6029960" cy="3265805"/>
            <wp:effectExtent l="0" t="0" r="0" b="0"/>
            <wp:docPr id="32"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7" descr=""/>
                    <pic:cNvPicPr>
                      <a:picLocks noChangeAspect="1" noChangeArrowheads="1"/>
                    </pic:cNvPicPr>
                  </pic:nvPicPr>
                  <pic:blipFill>
                    <a:blip r:embed="rId50"/>
                    <a:stretch>
                      <a:fillRect/>
                    </a:stretch>
                  </pic:blipFill>
                  <pic:spPr bwMode="auto">
                    <a:xfrm>
                      <a:off x="0" y="0"/>
                      <a:ext cx="6029960" cy="3265805"/>
                    </a:xfrm>
                    <a:prstGeom prst="rect">
                      <a:avLst/>
                    </a:prstGeom>
                  </pic:spPr>
                </pic:pic>
              </a:graphicData>
            </a:graphic>
          </wp:inline>
        </w:drawing>
      </w:r>
    </w:p>
    <w:p>
      <w:pPr>
        <w:pStyle w:val="Style84"/>
        <w:rPr/>
      </w:pPr>
      <w:r>
        <w:rPr/>
        <w:t xml:space="preserve">Рисунок </w:t>
      </w:r>
      <w:r>
        <w:rPr/>
        <w:fldChar w:fldCharType="begin"/>
      </w:r>
      <w:r>
        <w:rPr/>
        <w:instrText> SEQ Рисунок \* ARABIC </w:instrText>
      </w:r>
      <w:r>
        <w:rPr/>
        <w:fldChar w:fldCharType="separate"/>
      </w:r>
      <w:r>
        <w:rPr/>
        <w:t>29</w:t>
      </w:r>
      <w:r>
        <w:rPr/>
        <w:fldChar w:fldCharType="end"/>
      </w:r>
      <w:r>
        <w:rPr/>
        <w:t>. Строительство котельной БМК Горького 9 МВт</w:t>
      </w:r>
    </w:p>
    <w:p>
      <w:pPr>
        <w:pStyle w:val="ZZZ1"/>
        <w:ind w:left="567" w:firstLine="567"/>
        <w:rPr/>
      </w:pPr>
      <w:r>
        <w:rPr/>
        <w:t xml:space="preserve">Котельная </w:t>
      </w:r>
      <w:r>
        <w:rPr>
          <w:rFonts w:eastAsia="Calibri" w:eastAsiaTheme="minorHAnsi"/>
        </w:rPr>
        <w:t>«ЗСМ»</w:t>
      </w:r>
    </w:p>
    <w:p>
      <w:pPr>
        <w:pStyle w:val="A1"/>
        <w:rPr>
          <w:b/>
          <w:b/>
          <w:bCs/>
          <w:lang w:eastAsia="ar-SA"/>
        </w:rPr>
      </w:pPr>
      <w:r>
        <w:rPr>
          <w:rStyle w:val="A"/>
        </w:rPr>
        <w:t>Для  обеспечения тепловой энергией на нужды отопления и ГВС по закрытой схеме потребителей района многоквартирных домов по ул. Карловарская  –  ул. Загородная – Олимпийская , района перспективной жилой застройки,  а также   детского сада и  торгового центра, ликвидации аварийного участка магистральных сетей от котельной ЗСМ протяженностью 860 метров  запланировано строительство блочно-модульной газовой котельной, установленной</w:t>
      </w:r>
      <w:r>
        <w:rPr>
          <w:lang w:eastAsia="ar-SA"/>
        </w:rPr>
        <w:t xml:space="preserve"> мощностью </w:t>
        <w:br/>
        <w:t xml:space="preserve">12 МВт с инженерными сетями и подводящим газопроводом в районе ул. Карловарская – </w:t>
        <w:br/>
        <w:t xml:space="preserve">ул. Загородная в районе ж.д.№29 по ул. Загородная. </w:t>
      </w:r>
    </w:p>
    <w:p>
      <w:pPr>
        <w:pStyle w:val="A1"/>
        <w:rPr/>
      </w:pPr>
      <w:r>
        <w:rPr/>
        <w:t xml:space="preserve">Необходимость реконструкции подводящих сетей электроснабжения и водоснабжения определить проектом.  Водоснабжение котельной запланировано от хозяйственно-питьевого водопровода. </w:t>
      </w:r>
    </w:p>
    <w:p>
      <w:pPr>
        <w:pStyle w:val="Style112"/>
        <w:keepNext w:val="true"/>
        <w:rPr/>
      </w:pPr>
      <w:r>
        <w:rPr/>
        <w:drawing>
          <wp:inline distT="0" distB="0" distL="0" distR="0">
            <wp:extent cx="6029960" cy="3796030"/>
            <wp:effectExtent l="0" t="0" r="0" b="0"/>
            <wp:docPr id="33" name="Рисунок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53" descr=""/>
                    <pic:cNvPicPr>
                      <a:picLocks noChangeAspect="1" noChangeArrowheads="1"/>
                    </pic:cNvPicPr>
                  </pic:nvPicPr>
                  <pic:blipFill>
                    <a:blip r:embed="rId51"/>
                    <a:stretch>
                      <a:fillRect/>
                    </a:stretch>
                  </pic:blipFill>
                  <pic:spPr bwMode="auto">
                    <a:xfrm>
                      <a:off x="0" y="0"/>
                      <a:ext cx="6029960" cy="3796030"/>
                    </a:xfrm>
                    <a:prstGeom prst="rect">
                      <a:avLst/>
                    </a:prstGeom>
                  </pic:spPr>
                </pic:pic>
              </a:graphicData>
            </a:graphic>
          </wp:inline>
        </w:drawing>
      </w:r>
    </w:p>
    <w:p>
      <w:pPr>
        <w:pStyle w:val="Style84"/>
        <w:rPr>
          <w:rFonts w:eastAsia="Times New Roman"/>
          <w:b/>
          <w:b/>
          <w:bCs w:val="false"/>
          <w:lang w:eastAsia="ar-SA"/>
        </w:rPr>
      </w:pPr>
      <w:r>
        <w:rPr/>
        <w:t xml:space="preserve">Рисунок </w:t>
      </w:r>
      <w:r>
        <w:rPr/>
        <w:fldChar w:fldCharType="begin"/>
      </w:r>
      <w:r>
        <w:rPr/>
        <w:instrText> SEQ Рисунок \* ARABIC </w:instrText>
      </w:r>
      <w:r>
        <w:rPr/>
        <w:fldChar w:fldCharType="separate"/>
      </w:r>
      <w:r>
        <w:rPr/>
        <w:t>30</w:t>
      </w:r>
      <w:r>
        <w:rPr/>
        <w:fldChar w:fldCharType="end"/>
      </w:r>
      <w:r>
        <w:rPr/>
        <w:t>. Строительство котельной БМК Загородная 9 МВт</w:t>
      </w:r>
    </w:p>
    <w:p>
      <w:pPr>
        <w:pStyle w:val="ZZZ1"/>
        <w:ind w:left="567" w:firstLine="567"/>
        <w:rPr/>
      </w:pPr>
      <w:r>
        <w:rPr/>
        <w:t>Котельная ФГБУ «ЦЖКУ» Минобороны России и котельная «Пролетарская»</w:t>
      </w:r>
    </w:p>
    <w:p>
      <w:pPr>
        <w:pStyle w:val="A1"/>
        <w:rPr/>
      </w:pPr>
      <w:r>
        <w:rPr/>
        <w:t>Для теплоснабжения концевых потребителей котельной ЗХК и двух жилых многоквартирных домов, ранее отапливаемых от котельной ФГБУ «ЦЖКУ» Минобороны России, запланировано строительство блочно-модульной газовой котельной, установленной мощностью не менее 15 Гкал/ч с инженерными сетями и подводящим газопроводом в районе дома №5 по ул. Боровой.  Также запланирован постепенный вывод из эксплуатации котельной «Пролетарская».</w:t>
      </w:r>
    </w:p>
    <w:p>
      <w:pPr>
        <w:pStyle w:val="A1"/>
        <w:rPr/>
      </w:pPr>
      <w:r>
        <w:rPr/>
        <w:t>Водоснабжение котельной запланировано от хозяйственно-питьевого водопровода. Ориентировочная протяженность нового газопровода – 20 м.</w:t>
      </w:r>
    </w:p>
    <w:p>
      <w:pPr>
        <w:pStyle w:val="A1"/>
        <w:keepNext w:val="true"/>
        <w:rPr/>
      </w:pPr>
      <w:r>
        <w:rPr/>
        <w:drawing>
          <wp:inline distT="0" distB="0" distL="0" distR="0">
            <wp:extent cx="6029960" cy="4089400"/>
            <wp:effectExtent l="0" t="0" r="0" b="0"/>
            <wp:docPr id="34" name="Рисунок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55" descr=""/>
                    <pic:cNvPicPr>
                      <a:picLocks noChangeAspect="1" noChangeArrowheads="1"/>
                    </pic:cNvPicPr>
                  </pic:nvPicPr>
                  <pic:blipFill>
                    <a:blip r:embed="rId52"/>
                    <a:stretch>
                      <a:fillRect/>
                    </a:stretch>
                  </pic:blipFill>
                  <pic:spPr bwMode="auto">
                    <a:xfrm>
                      <a:off x="0" y="0"/>
                      <a:ext cx="6029960" cy="4089400"/>
                    </a:xfrm>
                    <a:prstGeom prst="rect">
                      <a:avLst/>
                    </a:prstGeom>
                  </pic:spPr>
                </pic:pic>
              </a:graphicData>
            </a:graphic>
          </wp:inline>
        </w:drawing>
      </w:r>
    </w:p>
    <w:p>
      <w:pPr>
        <w:pStyle w:val="Style84"/>
        <w:rPr>
          <w:rFonts w:eastAsia="Calibri"/>
          <w:b/>
          <w:b/>
        </w:rPr>
      </w:pPr>
      <w:r>
        <w:rPr/>
        <w:t xml:space="preserve">Рисунок </w:t>
      </w:r>
      <w:r>
        <w:rPr/>
        <w:fldChar w:fldCharType="begin"/>
      </w:r>
      <w:r>
        <w:rPr/>
        <w:instrText> SEQ Рисунок \* ARABIC </w:instrText>
      </w:r>
      <w:r>
        <w:rPr/>
        <w:fldChar w:fldCharType="separate"/>
      </w:r>
      <w:r>
        <w:rPr/>
        <w:t>31</w:t>
      </w:r>
      <w:r>
        <w:rPr/>
        <w:fldChar w:fldCharType="end"/>
      </w:r>
      <w:r>
        <w:rPr/>
        <w:t>. Строительство БМК Боровая 7 МВт</w:t>
      </w:r>
      <w:bookmarkEnd w:id="114"/>
    </w:p>
    <w:p>
      <w:pPr>
        <w:pStyle w:val="ZZZ1"/>
        <w:ind w:left="567" w:firstLine="567"/>
        <w:rPr/>
      </w:pPr>
      <w:r>
        <w:rPr/>
        <w:t>Котельная «Стадион»</w:t>
      </w:r>
    </w:p>
    <w:p>
      <w:pPr>
        <w:pStyle w:val="A1"/>
        <w:rPr/>
      </w:pPr>
      <w:r>
        <w:rPr/>
        <w:t>С целью обеспечения перспективных потребителей, вывода из эксплуатации трех угольных котельных («</w:t>
      </w:r>
      <w:r>
        <w:rPr>
          <w:lang w:eastAsia="ar-SA"/>
        </w:rPr>
        <w:t>Школа №1», «Орбита» и «ОВД»)</w:t>
      </w:r>
      <w:r>
        <w:rPr/>
        <w:t xml:space="preserve"> и оптимизации систем теплоснабжения от газовой котельной «Стадион» запланирована  установка блочно-модульной котельной мощностью до 7 МВт с инженерными сетями и подводящим газопроводом по адресу </w:t>
      </w:r>
      <w:r>
        <w:rPr>
          <w:lang w:eastAsia="ar-SA"/>
        </w:rPr>
        <w:t>ул. Энгельса, 179.</w:t>
      </w:r>
    </w:p>
    <w:p>
      <w:pPr>
        <w:pStyle w:val="ZZZ1"/>
        <w:ind w:left="567" w:firstLine="567"/>
        <w:rPr/>
      </w:pPr>
      <w:r>
        <w:rPr/>
        <w:t>Котельная «ЛТЦ-23»</w:t>
      </w:r>
    </w:p>
    <w:p>
      <w:pPr>
        <w:pStyle w:val="A1"/>
        <w:rPr/>
      </w:pPr>
      <w:r>
        <w:rPr/>
        <w:t xml:space="preserve">Для обеспечения тепловой энергией потребителей существующих котельных «ЛТЦ-23» и «ПДУ» и школы на 1500 мест, предлагается установить на месте угольной котельной «ЛТЦ-23» блочно-модульную котельную 1 Мвт д и организовать проведение режимно-наладочных работ. </w:t>
      </w:r>
    </w:p>
    <w:p>
      <w:pPr>
        <w:pStyle w:val="ZZZ1"/>
        <w:ind w:left="567" w:firstLine="567"/>
        <w:rPr/>
      </w:pPr>
      <w:r>
        <w:rPr/>
        <w:t>Котельная «Константиновка»</w:t>
      </w:r>
    </w:p>
    <w:p>
      <w:pPr>
        <w:pStyle w:val="A1"/>
        <w:rPr/>
      </w:pPr>
      <w:r>
        <w:rPr/>
        <w:t>С целью оптимизации системы теплоснабжения котельной «Константиновка» по адресу ул. Дзержинского 3а и вывода закрывающейся угольной котельной «Плодопитомник» запланирована реконструкция существующей газовой котельной «Константиновка» с изменением установленной мощности до 7 МВт.</w:t>
      </w:r>
    </w:p>
    <w:p>
      <w:pPr>
        <w:pStyle w:val="A1"/>
        <w:rPr>
          <w:lang w:eastAsia="ar-SA"/>
        </w:rPr>
      </w:pPr>
      <w:r>
        <w:rPr>
          <w:lang w:eastAsia="ar-SA"/>
        </w:rPr>
        <w:t>Реконструкция котельной включает:</w:t>
      </w:r>
    </w:p>
    <w:p>
      <w:pPr>
        <w:pStyle w:val="Style92"/>
        <w:numPr>
          <w:ilvl w:val="0"/>
          <w:numId w:val="4"/>
        </w:numPr>
        <w:spacing w:lineRule="auto" w:line="276"/>
        <w:ind w:left="0" w:firstLine="567"/>
        <w:rPr/>
      </w:pPr>
      <w:r>
        <w:rPr/>
        <w:t>Прокладка тепловой сети от ж.д.№11 по ул.Дзержинского до ул.Северная 55;</w:t>
      </w:r>
    </w:p>
    <w:p>
      <w:pPr>
        <w:pStyle w:val="Style92"/>
        <w:numPr>
          <w:ilvl w:val="0"/>
          <w:numId w:val="4"/>
        </w:numPr>
        <w:spacing w:lineRule="auto" w:line="276"/>
        <w:ind w:left="0" w:firstLine="567"/>
        <w:rPr/>
      </w:pPr>
      <w:r>
        <w:rPr/>
        <w:t>Монтаж водогрейных котлов с реконструкцией ГРУ и узла учета газа, установку нового насосного, водоподготовительного и теплообменного оборудования, пуско-наладочные и режимно-наладочные работы;</w:t>
      </w:r>
    </w:p>
    <w:p>
      <w:pPr>
        <w:pStyle w:val="ZZZ1"/>
        <w:ind w:left="567" w:firstLine="567"/>
        <w:rPr/>
      </w:pPr>
      <w:r>
        <w:rPr/>
        <w:t>Котельная «Городская баня»</w:t>
      </w:r>
    </w:p>
    <w:p>
      <w:pPr>
        <w:pStyle w:val="A1"/>
        <w:rPr/>
      </w:pPr>
      <w:r>
        <w:rPr/>
        <w:t xml:space="preserve">В связи с неудовлетворительным состоянием оборудования, низкой эффективностью использования топлива и высоким уровнем издержек запланирована реконструкция существующей угольной котельной «Городская баня» по адресу ул. Пролетарская, 20 с переводом ее на газовое топливо. </w:t>
      </w:r>
    </w:p>
    <w:p>
      <w:pPr>
        <w:pStyle w:val="A1"/>
        <w:rPr>
          <w:rFonts w:eastAsia="Calibri" w:eastAsiaTheme="minorHAnsi"/>
          <w:lang w:eastAsia="ar-SA"/>
        </w:rPr>
      </w:pPr>
      <w:r>
        <w:rPr>
          <w:rFonts w:eastAsia="Calibri" w:eastAsiaTheme="minorHAnsi"/>
          <w:bCs/>
          <w:lang w:eastAsia="ar-SA"/>
        </w:rPr>
        <w:t>Реконструкция котельной включает следующие мероприятия:</w:t>
      </w:r>
    </w:p>
    <w:p>
      <w:pPr>
        <w:pStyle w:val="Style92"/>
        <w:numPr>
          <w:ilvl w:val="0"/>
          <w:numId w:val="4"/>
        </w:numPr>
        <w:spacing w:lineRule="auto" w:line="276"/>
        <w:ind w:left="0" w:firstLine="567"/>
        <w:rPr/>
      </w:pPr>
      <w:r>
        <w:rPr/>
        <w:t xml:space="preserve">Капитальный ремонт здания с демонтажем существующего оборудования котельной; </w:t>
      </w:r>
    </w:p>
    <w:p>
      <w:pPr>
        <w:pStyle w:val="Style92"/>
        <w:numPr>
          <w:ilvl w:val="0"/>
          <w:numId w:val="4"/>
        </w:numPr>
        <w:spacing w:lineRule="auto" w:line="276"/>
        <w:ind w:left="0" w:firstLine="567"/>
        <w:rPr/>
      </w:pPr>
      <w:r>
        <w:rPr/>
        <w:t>Монтаж водогрейных котлов общей установленной мощностью 1 МВт, установку ГРУ и узла учета газа, установку нового насосного, водоподготовительного и теплообменного оборудования, пуско-наладочные и режимно-наладочные работы;</w:t>
      </w:r>
    </w:p>
    <w:p>
      <w:pPr>
        <w:pStyle w:val="Style92"/>
        <w:numPr>
          <w:ilvl w:val="0"/>
          <w:numId w:val="4"/>
        </w:numPr>
        <w:spacing w:lineRule="auto" w:line="276"/>
        <w:ind w:left="0" w:firstLine="567"/>
        <w:rPr/>
      </w:pPr>
      <w:r>
        <w:rPr/>
        <w:t>Прокладка газопровода протяженностью 100 м.</w:t>
      </w:r>
    </w:p>
    <w:p>
      <w:pPr>
        <w:pStyle w:val="ZZZ1"/>
        <w:ind w:left="567" w:firstLine="567"/>
        <w:rPr/>
      </w:pPr>
      <w:r>
        <w:rPr/>
        <w:t>Котельная «Виток»</w:t>
      </w:r>
    </w:p>
    <w:p>
      <w:pPr>
        <w:pStyle w:val="A1"/>
        <w:rPr/>
      </w:pPr>
      <w:r>
        <w:rPr/>
        <w:t xml:space="preserve">Также в связи с неудовлетворительным состоянием оборудования, низкой эффективностью использования топлива и необходимостью для снижения издержек запланирована реконструкция существующей угольной котельной «Виток» по адресу ул. Кр. Партизан, 55 с переводом ее на газовое топливо.   </w:t>
      </w:r>
    </w:p>
    <w:p>
      <w:pPr>
        <w:pStyle w:val="Style92"/>
        <w:numPr>
          <w:ilvl w:val="0"/>
          <w:numId w:val="4"/>
        </w:numPr>
        <w:spacing w:lineRule="auto" w:line="276"/>
        <w:ind w:left="0" w:firstLine="567"/>
        <w:rPr/>
      </w:pPr>
      <w:r>
        <w:rPr/>
        <w:t>Реконструкция котельной включает следующие мероприятия:</w:t>
      </w:r>
    </w:p>
    <w:p>
      <w:pPr>
        <w:pStyle w:val="Style92"/>
        <w:numPr>
          <w:ilvl w:val="0"/>
          <w:numId w:val="4"/>
        </w:numPr>
        <w:spacing w:lineRule="auto" w:line="276"/>
        <w:ind w:left="0" w:firstLine="567"/>
        <w:rPr/>
      </w:pPr>
      <w:r>
        <w:rPr/>
        <w:t>Установка блочно-модульной газовой котельной 0,3 Мвт</w:t>
      </w:r>
    </w:p>
    <w:p>
      <w:pPr>
        <w:pStyle w:val="ZZZ1"/>
        <w:ind w:left="567" w:firstLine="567"/>
        <w:rPr/>
      </w:pPr>
      <w:r>
        <w:rPr/>
        <w:t>Котельная «Пригородная»</w:t>
      </w:r>
    </w:p>
    <w:p>
      <w:pPr>
        <w:pStyle w:val="A1"/>
        <w:rPr/>
      </w:pPr>
      <w:r>
        <w:rPr/>
        <w:t xml:space="preserve">В связи с низкой эффективностью оборудования, высокими удельными расходами условного топлива запланирована реконструкция существующей угольной котельной «Пригородная» по адресу ул. Ирбитская, 75 установкой блочно- модульной газовой котельной мощностью 0.3 МВт в районе д.№ 70 по ул. Ключевая. Реконструкция возможна после подведения к данному дому магистрального газопровода. </w:t>
      </w:r>
    </w:p>
    <w:p>
      <w:pPr>
        <w:pStyle w:val="A1"/>
        <w:rPr/>
      </w:pPr>
      <w:r>
        <w:rPr/>
        <w:t>Реконструкция котельной включает следующие мероприятия:</w:t>
      </w:r>
    </w:p>
    <w:p>
      <w:pPr>
        <w:pStyle w:val="Style92"/>
        <w:numPr>
          <w:ilvl w:val="0"/>
          <w:numId w:val="4"/>
        </w:numPr>
        <w:spacing w:lineRule="auto" w:line="276"/>
        <w:ind w:left="0" w:firstLine="567"/>
        <w:rPr/>
      </w:pPr>
      <w:r>
        <w:rPr/>
        <w:t xml:space="preserve">Установка блочно-модульной котельной </w:t>
      </w:r>
    </w:p>
    <w:p>
      <w:pPr>
        <w:pStyle w:val="Style92"/>
        <w:numPr>
          <w:ilvl w:val="0"/>
          <w:numId w:val="4"/>
        </w:numPr>
        <w:spacing w:lineRule="auto" w:line="276"/>
        <w:ind w:left="0" w:firstLine="567"/>
        <w:rPr/>
      </w:pPr>
      <w:r>
        <w:rPr/>
        <w:t>Прокладка тепловой сети</w:t>
      </w:r>
    </w:p>
    <w:p>
      <w:pPr>
        <w:pStyle w:val="ZZZ1"/>
        <w:ind w:left="567" w:firstLine="567"/>
        <w:rPr/>
      </w:pPr>
      <w:r>
        <w:rPr/>
        <w:t>Котельная «Школа №7»</w:t>
      </w:r>
    </w:p>
    <w:p>
      <w:pPr>
        <w:pStyle w:val="A1"/>
        <w:rPr/>
      </w:pPr>
      <w:r>
        <w:rPr/>
        <w:t>Также в связи с неудовлетворительным состоянием оборудования, низкой эффективностью использования топлива запланирована реконструкция существующей угольной котельной «Школа №7» по адресу ул. Кр. Партизан, 2 с переводом ее на газовое топливо.</w:t>
      </w:r>
    </w:p>
    <w:p>
      <w:pPr>
        <w:pStyle w:val="A1"/>
        <w:rPr>
          <w:lang w:eastAsia="ar-SA"/>
        </w:rPr>
      </w:pPr>
      <w:r>
        <w:rPr>
          <w:bCs/>
          <w:lang w:eastAsia="ar-SA"/>
        </w:rPr>
        <w:t>Реконструкция котельной включает следующие мероприятия:</w:t>
      </w:r>
    </w:p>
    <w:p>
      <w:pPr>
        <w:pStyle w:val="Style92"/>
        <w:numPr>
          <w:ilvl w:val="0"/>
          <w:numId w:val="4"/>
        </w:numPr>
        <w:spacing w:lineRule="auto" w:line="276"/>
        <w:ind w:left="0" w:firstLine="567"/>
        <w:rPr/>
      </w:pPr>
      <w:r>
        <w:rPr/>
        <w:t xml:space="preserve">Капитальный ремонт здания с демонтажем существующего оборудования котельной; </w:t>
      </w:r>
    </w:p>
    <w:p>
      <w:pPr>
        <w:pStyle w:val="Style92"/>
        <w:numPr>
          <w:ilvl w:val="0"/>
          <w:numId w:val="4"/>
        </w:numPr>
        <w:spacing w:lineRule="auto" w:line="276"/>
        <w:ind w:left="0" w:firstLine="567"/>
        <w:rPr/>
      </w:pPr>
      <w:r>
        <w:rPr/>
        <w:t>Монтаж водогрейных котлов общей установленной мощностью 0,25 МВт, установку нового насосного, водоподготовительного и теплообменного оборудования, пуско-наладочные и режимно-наладочные работы.</w:t>
      </w:r>
    </w:p>
    <w:p>
      <w:pPr>
        <w:pStyle w:val="ZZZ1"/>
        <w:ind w:left="567" w:firstLine="567"/>
        <w:rPr/>
      </w:pPr>
      <w:r>
        <w:rPr/>
        <w:t>Котельная «КГТУ»</w:t>
      </w:r>
    </w:p>
    <w:p>
      <w:pPr>
        <w:pStyle w:val="A1"/>
        <w:rPr>
          <w:b/>
          <w:b/>
          <w:bCs/>
        </w:rPr>
      </w:pPr>
      <w:r>
        <w:rPr/>
        <w:t>Перевод котельной Северная 63 (Гуманитарный техникум) на газ с подключением потребителей котельной Северная 61.</w:t>
      </w:r>
    </w:p>
    <w:p>
      <w:pPr>
        <w:pStyle w:val="A1"/>
        <w:rPr/>
      </w:pPr>
      <w:r>
        <w:rPr/>
        <w:t>Реконструкция котельной включает следующие мероприятия:</w:t>
      </w:r>
    </w:p>
    <w:p>
      <w:pPr>
        <w:pStyle w:val="Style92"/>
        <w:numPr>
          <w:ilvl w:val="0"/>
          <w:numId w:val="4"/>
        </w:numPr>
        <w:spacing w:lineRule="auto" w:line="276"/>
        <w:ind w:left="0" w:firstLine="567"/>
        <w:rPr/>
      </w:pPr>
      <w:r>
        <w:rPr/>
        <w:t>Перевод котлов котельной на газ;</w:t>
      </w:r>
    </w:p>
    <w:p>
      <w:pPr>
        <w:pStyle w:val="Style92"/>
        <w:numPr>
          <w:ilvl w:val="0"/>
          <w:numId w:val="4"/>
        </w:numPr>
        <w:spacing w:lineRule="auto" w:line="276"/>
        <w:ind w:left="0" w:firstLine="567"/>
        <w:rPr/>
      </w:pPr>
      <w:r>
        <w:rPr/>
        <w:t>Прокладка тепловой сети от ул. Северная 63 до ул. Северная 61.</w:t>
      </w:r>
    </w:p>
    <w:p>
      <w:pPr>
        <w:pStyle w:val="ZZZ1"/>
        <w:ind w:left="567" w:firstLine="567"/>
        <w:rPr/>
      </w:pPr>
      <w:r>
        <w:rPr/>
        <w:t>Котельная «Сельэнерго»</w:t>
      </w:r>
    </w:p>
    <w:p>
      <w:pPr>
        <w:pStyle w:val="A1"/>
        <w:rPr/>
      </w:pPr>
      <w:r>
        <w:rPr/>
        <w:t>Перевод потребителей угольной котельной «Сельэнерго» на поквартирное газовое отопление.</w:t>
      </w:r>
    </w:p>
    <w:p>
      <w:pPr>
        <w:pStyle w:val="Normal"/>
        <w:spacing w:lineRule="auto" w:line="276" w:before="120" w:after="200"/>
        <w:rPr>
          <w:rFonts w:eastAsia="Calibri"/>
          <w:b/>
          <w:b/>
          <w:bCs/>
          <w:lang w:eastAsia="en-US"/>
        </w:rPr>
      </w:pPr>
      <w:r>
        <w:rPr>
          <w:rFonts w:eastAsia="Calibri"/>
          <w:b/>
          <w:bCs/>
          <w:lang w:eastAsia="en-US"/>
        </w:rPr>
      </w:r>
      <w:r>
        <w:br w:type="page"/>
      </w:r>
    </w:p>
    <w:p>
      <w:pPr>
        <w:pStyle w:val="ZZZ1"/>
        <w:ind w:left="567" w:firstLine="567"/>
        <w:rPr/>
      </w:pPr>
      <w:r>
        <w:rPr/>
        <w:t>Котельная «Агроспецмонтаж»</w:t>
      </w:r>
    </w:p>
    <w:p>
      <w:pPr>
        <w:pStyle w:val="A1"/>
        <w:rPr/>
      </w:pPr>
      <w:r>
        <w:rPr/>
        <w:t>Реконструкция котельной «Агроспецмонтаж» мощностью 0,8 МВт с переводом на газовое топливо.</w:t>
      </w:r>
    </w:p>
    <w:p>
      <w:pPr>
        <w:pStyle w:val="A1"/>
        <w:rPr/>
      </w:pPr>
      <w:r>
        <w:rPr/>
        <w:t xml:space="preserve">На территории Камышловского городского округа утверждены проекты планировки и межевания, в соответствии с которыми предполагается увеличение тепловой нагрузки. Информация по перспективным приростам и мероприятия по модернизации представлены в таблице </w:t>
      </w:r>
      <w:r>
        <w:rPr/>
        <w:fldChar w:fldCharType="begin"/>
      </w:r>
      <w:r>
        <w:rPr/>
        <w:instrText> REF _Ref6920002 \h </w:instrText>
      </w:r>
      <w:r>
        <w:rPr/>
        <w:fldChar w:fldCharType="separate"/>
      </w:r>
      <w:r>
        <w:rPr/>
        <w:t>Таблица 14</w:t>
      </w:r>
      <w:r>
        <w:rPr/>
        <w:fldChar w:fldCharType="end"/>
      </w:r>
      <w:r>
        <w:rPr/>
        <w:t>.</w:t>
      </w:r>
    </w:p>
    <w:p>
      <w:pPr>
        <w:pStyle w:val="Style85"/>
        <w:rPr/>
      </w:pPr>
      <w:bookmarkStart w:id="116" w:name="_Ref6920002"/>
      <w:r>
        <w:rPr/>
        <w:t xml:space="preserve">Таблица </w:t>
      </w:r>
      <w:r>
        <w:rPr/>
        <w:fldChar w:fldCharType="begin"/>
      </w:r>
      <w:r>
        <w:rPr/>
        <w:instrText> SEQ Таблица \* ARABIC </w:instrText>
      </w:r>
      <w:r>
        <w:rPr/>
        <w:fldChar w:fldCharType="separate"/>
      </w:r>
      <w:r>
        <w:rPr/>
        <w:t>14</w:t>
      </w:r>
      <w:r>
        <w:rPr/>
        <w:fldChar w:fldCharType="end"/>
      </w:r>
      <w:bookmarkEnd w:id="116"/>
      <w:r>
        <w:rPr/>
        <w:t>. Мероприятия по обеспечению проектируемых районов Камышловского городского округа</w:t>
      </w:r>
    </w:p>
    <w:tbl>
      <w:tblPr>
        <w:tblStyle w:val="af"/>
        <w:tblW w:w="5000" w:type="pct"/>
        <w:jc w:val="left"/>
        <w:tblInd w:w="0" w:type="dxa"/>
        <w:tblCellMar>
          <w:top w:w="0" w:type="dxa"/>
          <w:left w:w="108" w:type="dxa"/>
          <w:bottom w:w="0" w:type="dxa"/>
          <w:right w:w="108" w:type="dxa"/>
        </w:tblCellMar>
        <w:tblLook w:firstRow="1" w:noVBand="1" w:lastRow="0" w:firstColumn="1" w:lastColumn="0" w:noHBand="0" w:val="04a0"/>
      </w:tblPr>
      <w:tblGrid>
        <w:gridCol w:w="791"/>
        <w:gridCol w:w="2003"/>
        <w:gridCol w:w="7411"/>
      </w:tblGrid>
      <w:tr>
        <w:trPr>
          <w:tblHeader w:val="true"/>
          <w:trHeight w:val="70" w:hRule="atLeast"/>
        </w:trPr>
        <w:tc>
          <w:tcPr>
            <w:tcW w:w="791"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 xml:space="preserve">№ </w:t>
            </w:r>
            <w:r>
              <w:rPr>
                <w:b/>
                <w:sz w:val="20"/>
                <w:szCs w:val="20"/>
              </w:rPr>
              <w:t>п/п</w:t>
            </w:r>
          </w:p>
        </w:tc>
        <w:tc>
          <w:tcPr>
            <w:tcW w:w="2003"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Местоположение</w:t>
            </w:r>
          </w:p>
        </w:tc>
        <w:tc>
          <w:tcPr>
            <w:tcW w:w="7411"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Мероприятия</w:t>
            </w:r>
          </w:p>
        </w:tc>
      </w:tr>
      <w:tr>
        <w:trPr>
          <w:trHeight w:val="216" w:hRule="atLeast"/>
        </w:trPr>
        <w:tc>
          <w:tcPr>
            <w:tcW w:w="10205" w:type="dxa"/>
            <w:gridSpan w:val="3"/>
            <w:tcBorders/>
            <w:shd w:fill="auto" w:val="clear"/>
          </w:tcPr>
          <w:p>
            <w:pPr>
              <w:pStyle w:val="Normal"/>
              <w:tabs>
                <w:tab w:val="clear" w:pos="709"/>
                <w:tab w:val="left" w:pos="567" w:leader="none"/>
              </w:tabs>
              <w:spacing w:lineRule="auto" w:line="240" w:before="0" w:after="0"/>
              <w:jc w:val="center"/>
              <w:rPr>
                <w:sz w:val="20"/>
                <w:szCs w:val="20"/>
              </w:rPr>
            </w:pPr>
            <w:r>
              <w:rPr>
                <w:sz w:val="20"/>
                <w:szCs w:val="20"/>
              </w:rPr>
              <w:t>ТЕПЛОСНАБЖЕНИЕ</w:t>
            </w:r>
          </w:p>
        </w:tc>
      </w:tr>
      <w:tr>
        <w:trPr>
          <w:trHeight w:val="231"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1</w:t>
            </w:r>
          </w:p>
          <w:p>
            <w:pPr>
              <w:pStyle w:val="Normal"/>
              <w:spacing w:lineRule="auto" w:line="240" w:before="0" w:after="0"/>
              <w:jc w:val="center"/>
              <w:rPr>
                <w:sz w:val="20"/>
                <w:szCs w:val="20"/>
              </w:rPr>
            </w:pPr>
            <w:r>
              <w:rPr>
                <w:sz w:val="20"/>
                <w:szCs w:val="20"/>
              </w:rPr>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Западная часть</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Строительство котельной мощностью 1,05 Гкал/ч.</w:t>
            </w:r>
          </w:p>
        </w:tc>
      </w:tr>
      <w:tr>
        <w:trPr>
          <w:trHeight w:val="231"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2</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Центральный Урицкого</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 xml:space="preserve">Теплоснабжение проектируемого многоквартирного дома возможно осуществить от существующей котельной, расположенной в границах проектируемой территории. </w:t>
            </w:r>
          </w:p>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Теплоснабжение проектируемой индивидуальной застройки возможно осуществлять от автономных источников (газовых установок).</w:t>
            </w:r>
          </w:p>
        </w:tc>
      </w:tr>
      <w:tr>
        <w:trPr>
          <w:trHeight w:val="231"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3</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Центральная часть</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Строительство проектной блочно-модульной газовой котельной (БМК) мощностью 9 МВт с намеченным местом размещения по ул. Горького,15.</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 xml:space="preserve"> </w:t>
            </w:r>
            <w:r>
              <w:rPr>
                <w:sz w:val="20"/>
                <w:szCs w:val="20"/>
              </w:rPr>
              <w:t xml:space="preserve">Ликвидация угольная котельная «Инженерный центр», расположенной по ул..Советская,7, по причине неудовлетворительного состояния оборудования и здания котельной, низкого КПД (41,1%) выработки тепла, неустойчивой работы системы котельной, а также невозможность создания зоны санитарной охраны. </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В связи с ликвидацией котельной «Инженерный центр» проектом предусмотрено переключение потребителей этой котельной, котельной «ЗХК» и частично котельной «Железнодорожная» на проектируемую БМК (ул. Горького,15).</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Проектом сохраняется теплоснабжение ряда объектов административного и культурно-социального назначения от автономных газовых котельных.</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Для индивидуальной жилой застройки, расположенной севернее ул. Куйбышева, проектом предлагается установка поквартирных газовых водонагревателей и отопительных установок для горячего водоснабжения и отопления.</w:t>
            </w:r>
          </w:p>
        </w:tc>
      </w:tr>
      <w:tr>
        <w:trPr>
          <w:trHeight w:val="231"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4</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Северо-восточная часть</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w:t>
            </w:r>
          </w:p>
        </w:tc>
      </w:tr>
      <w:tr>
        <w:trPr>
          <w:trHeight w:val="231"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5</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Восточная часть</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 xml:space="preserve">Источником теплоснабжения объектов логистического комплекса планируется пристроенная газовая котельная </w:t>
            </w:r>
          </w:p>
        </w:tc>
      </w:tr>
      <w:tr>
        <w:trPr>
          <w:trHeight w:val="67"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6</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Западная часть Энгельса</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Проектом предлагаются индивидуальные источники теплоснабжения, работающие на газовом топливе</w:t>
            </w:r>
          </w:p>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Для бесперебойного теплоснабжения детского дошкольного учреждения (ДДУ) предусмотрено устройство модульной газовой котельной. Котельная расположена в отдельном здании, за границами ДДУ, в районе пересечения улиц: ул. Кутузова, ул. Закамышловская.</w:t>
            </w:r>
          </w:p>
        </w:tc>
      </w:tr>
      <w:tr>
        <w:trPr>
          <w:trHeight w:val="67" w:hRule="atLeast"/>
        </w:trPr>
        <w:tc>
          <w:tcPr>
            <w:tcW w:w="79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7</w:t>
            </w:r>
          </w:p>
        </w:tc>
        <w:tc>
          <w:tcPr>
            <w:tcW w:w="2003"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Северная часть</w:t>
            </w:r>
          </w:p>
        </w:tc>
        <w:tc>
          <w:tcPr>
            <w:tcW w:w="741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Теплоснабжение объектов производственного, коммунально-складского, социального и культурно-бытового обслуживания, размещаемых в границах проектируемой территории, предлагается обеспечить централизованной системой теплоснабжения.</w:t>
            </w:r>
          </w:p>
        </w:tc>
      </w:tr>
    </w:tbl>
    <w:p>
      <w:pPr>
        <w:pStyle w:val="Style139"/>
        <w:rPr/>
      </w:pPr>
      <w:r>
        <w:rPr/>
      </w:r>
    </w:p>
    <w:p>
      <w:pPr>
        <w:pStyle w:val="229"/>
        <w:rPr/>
      </w:pPr>
      <w:bookmarkStart w:id="117" w:name="_Toc50093559"/>
      <w:bookmarkStart w:id="118" w:name="_Toc50087573"/>
      <w:bookmarkStart w:id="119" w:name="_Toc437278354"/>
      <w:r>
        <w:rPr/>
        <w:t xml:space="preserve">5.5 </w:t>
      </w:r>
      <w:bookmarkEnd w:id="119"/>
      <w:r>
        <w:rPr/>
        <w:t>Обоснование предлагаемых для реконструкции источников тепловой энергии, функционирующих в режиме комбинированной выработки электрической и тепловой энергии</w:t>
      </w:r>
      <w:bookmarkEnd w:id="117"/>
      <w:bookmarkEnd w:id="118"/>
    </w:p>
    <w:p>
      <w:pPr>
        <w:pStyle w:val="A1"/>
        <w:rPr/>
      </w:pPr>
      <w:r>
        <w:rPr/>
        <w:t>Реконструкция источников тепловой энергии, функционирующих в режиме комбинированной выработки электрической и тепловой энергии, не требуется.</w:t>
      </w:r>
    </w:p>
    <w:p>
      <w:pPr>
        <w:pStyle w:val="229"/>
        <w:rPr/>
      </w:pPr>
      <w:bookmarkStart w:id="120" w:name="_Toc50093560"/>
      <w:bookmarkStart w:id="121" w:name="_Toc50087574"/>
      <w:r>
        <w:rPr/>
        <w:t>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0"/>
      <w:bookmarkEnd w:id="121"/>
    </w:p>
    <w:p>
      <w:pPr>
        <w:pStyle w:val="A1"/>
        <w:rPr/>
      </w:pPr>
      <w:r>
        <w:rPr/>
        <w:t>На территории Камышловского городского округа не предусмотрены 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pPr>
        <w:pStyle w:val="229"/>
        <w:rPr/>
      </w:pPr>
      <w:bookmarkStart w:id="122" w:name="_Toc50093561"/>
      <w:bookmarkStart w:id="123" w:name="_Toc50087575"/>
      <w:bookmarkStart w:id="124" w:name="_Toc437278355"/>
      <w:r>
        <w:rPr/>
        <w:t>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22"/>
      <w:bookmarkEnd w:id="123"/>
      <w:bookmarkEnd w:id="124"/>
    </w:p>
    <w:p>
      <w:pPr>
        <w:pStyle w:val="A1"/>
        <w:rPr>
          <w:sz w:val="22"/>
        </w:rPr>
      </w:pPr>
      <w:r>
        <w:rPr/>
        <w:t>Мероприятий по реконструкции котельных с увеличением зоны их действия путем включения в нее зон действия существующих источников тепловой энергии на территории городского округа не предполагается.</w:t>
      </w:r>
    </w:p>
    <w:p>
      <w:pPr>
        <w:pStyle w:val="229"/>
        <w:rPr/>
      </w:pPr>
      <w:bookmarkStart w:id="125" w:name="_Toc50093562"/>
      <w:bookmarkStart w:id="126" w:name="_Toc50087576"/>
      <w:bookmarkStart w:id="127" w:name="_Toc437278356"/>
      <w:r>
        <w:rPr/>
        <w:t>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тепловой и электрической энергии</w:t>
      </w:r>
      <w:bookmarkEnd w:id="125"/>
      <w:bookmarkEnd w:id="126"/>
      <w:bookmarkEnd w:id="127"/>
    </w:p>
    <w:p>
      <w:pPr>
        <w:pStyle w:val="A1"/>
        <w:rPr/>
      </w:pPr>
      <w:r>
        <w:rPr/>
        <w:t>На территории Камышловского городского округа отсутствуют источники тепловой энергии в режиме комбинированной выработки.</w:t>
      </w:r>
    </w:p>
    <w:p>
      <w:pPr>
        <w:pStyle w:val="229"/>
        <w:rPr/>
      </w:pPr>
      <w:bookmarkStart w:id="128" w:name="_Toc437278357"/>
      <w:bookmarkStart w:id="129" w:name="_Toc50093563"/>
      <w:bookmarkStart w:id="130" w:name="_Toc50087577"/>
      <w:r>
        <w:rPr/>
        <w:t>5.9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128"/>
      <w:bookmarkEnd w:id="129"/>
      <w:bookmarkEnd w:id="130"/>
    </w:p>
    <w:p>
      <w:pPr>
        <w:pStyle w:val="A1"/>
        <w:rPr/>
      </w:pPr>
      <w:r>
        <w:rPr/>
        <w:t>На территории Камышловского городского округа отсутствуют источники тепловой энергии в режиме комбинированной выработки.</w:t>
      </w:r>
    </w:p>
    <w:p>
      <w:pPr>
        <w:pStyle w:val="229"/>
        <w:rPr/>
      </w:pPr>
      <w:bookmarkStart w:id="131" w:name="_Toc437278358"/>
      <w:bookmarkStart w:id="132" w:name="_Toc50093564"/>
      <w:bookmarkStart w:id="133" w:name="_Toc50087578"/>
      <w:r>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31"/>
      <w:bookmarkEnd w:id="132"/>
      <w:bookmarkEnd w:id="133"/>
    </w:p>
    <w:p>
      <w:pPr>
        <w:pStyle w:val="A1"/>
        <w:rPr/>
      </w:pPr>
      <w:r>
        <w:rPr/>
        <w:t xml:space="preserve">Мероприятий по выводу в резерв и (или) выводу из эксплуатации котельных при передаче тепловых нагрузок на другие источники тепловой энергии на территории городского округа представлены в п. 7.4. </w:t>
      </w:r>
    </w:p>
    <w:p>
      <w:pPr>
        <w:pStyle w:val="A1"/>
        <w:rPr>
          <w:b/>
          <w:b/>
          <w:bCs/>
          <w:i/>
          <w:i/>
          <w:iCs/>
        </w:rPr>
      </w:pPr>
      <w:bookmarkStart w:id="134" w:name="_Toc50093565"/>
      <w:bookmarkStart w:id="135" w:name="_Toc50087579"/>
      <w:r>
        <w:rPr>
          <w:b/>
          <w:bCs/>
          <w:i/>
          <w:iCs/>
        </w:rPr>
        <w:t>5.11 Обоснование мероприятий по повышению надежности источников теплоснабжения</w:t>
      </w:r>
      <w:bookmarkEnd w:id="134"/>
      <w:bookmarkEnd w:id="135"/>
    </w:p>
    <w:p>
      <w:pPr>
        <w:pStyle w:val="A1"/>
        <w:rPr/>
      </w:pPr>
      <w:r>
        <w:rPr/>
        <w:t>На территории Камышловского городского округа большинство котельных находятся в категории малонадежных котельных (п. 1.9). Соответственно предусмотрены следующие мероприятия:</w:t>
      </w:r>
    </w:p>
    <w:p>
      <w:pPr>
        <w:pStyle w:val="Style92"/>
        <w:numPr>
          <w:ilvl w:val="0"/>
          <w:numId w:val="4"/>
        </w:numPr>
        <w:spacing w:lineRule="auto" w:line="276"/>
        <w:ind w:left="0" w:firstLine="567"/>
        <w:rPr/>
      </w:pPr>
      <w:r>
        <w:rPr/>
        <w:t>установка дизель-генератора на котельных «Железнодорожная» в качестве резервного источника электроснабжения с целью повышения уровня надежности;</w:t>
      </w:r>
    </w:p>
    <w:p>
      <w:pPr>
        <w:pStyle w:val="Style92"/>
        <w:numPr>
          <w:ilvl w:val="0"/>
          <w:numId w:val="4"/>
        </w:numPr>
        <w:spacing w:lineRule="auto" w:line="276"/>
        <w:ind w:left="0" w:firstLine="567"/>
        <w:rPr/>
      </w:pPr>
      <w:r>
        <w:rPr/>
        <w:t>установка водоподготовительной установки на котельной «Константиновка» производительностью 2 т/ч с целью повышения качества воды и работы установки.</w:t>
      </w:r>
    </w:p>
    <w:p>
      <w:pPr>
        <w:pStyle w:val="229"/>
        <w:rPr/>
      </w:pPr>
      <w:bookmarkStart w:id="136" w:name="_Toc50093566"/>
      <w:bookmarkStart w:id="137" w:name="_Toc50087580"/>
      <w:r>
        <w:rPr/>
        <w:t>5.12 Обоснование прочих мероприятий источников теплоснабжения</w:t>
      </w:r>
      <w:bookmarkEnd w:id="136"/>
      <w:bookmarkEnd w:id="137"/>
    </w:p>
    <w:p>
      <w:pPr>
        <w:pStyle w:val="ZZZ1"/>
        <w:ind w:left="567" w:firstLine="567"/>
        <w:rPr/>
      </w:pPr>
      <w:r>
        <w:rPr/>
        <w:t>Внедрение комплексной системы диспетчеризации</w:t>
      </w:r>
    </w:p>
    <w:p>
      <w:pPr>
        <w:pStyle w:val="A1"/>
        <w:rPr/>
      </w:pPr>
      <w:r>
        <w:rPr/>
        <w:t>Внедрение систем диспетчеризации – одно из важнейших направлений в области управления инженерными системами. Применение системы диспетчеризации позволяет повысить эффективность работы оборудования, задействованного в эксплуатации систем теплоснабжения.</w:t>
      </w:r>
    </w:p>
    <w:p>
      <w:pPr>
        <w:pStyle w:val="A1"/>
        <w:rPr/>
      </w:pPr>
      <w:r>
        <w:rPr/>
        <w:t>Диспетчеризация обеспечивает:</w:t>
      </w:r>
    </w:p>
    <w:p>
      <w:pPr>
        <w:pStyle w:val="Style92"/>
        <w:numPr>
          <w:ilvl w:val="0"/>
          <w:numId w:val="4"/>
        </w:numPr>
        <w:spacing w:lineRule="auto" w:line="276"/>
        <w:ind w:left="0" w:firstLine="567"/>
        <w:rPr/>
      </w:pPr>
      <w:r>
        <w:rPr/>
        <w:t>реальную и полную картину состояния всех объектов в любой момент времени;</w:t>
      </w:r>
    </w:p>
    <w:p>
      <w:pPr>
        <w:pStyle w:val="Style92"/>
        <w:numPr>
          <w:ilvl w:val="0"/>
          <w:numId w:val="4"/>
        </w:numPr>
        <w:spacing w:lineRule="auto" w:line="276"/>
        <w:ind w:left="0" w:firstLine="567"/>
        <w:rPr/>
      </w:pPr>
      <w:r>
        <w:rPr/>
        <w:t>круглосуточный мониторинг контролируемых объектов по перечню параметров;</w:t>
      </w:r>
    </w:p>
    <w:p>
      <w:pPr>
        <w:pStyle w:val="Style92"/>
        <w:numPr>
          <w:ilvl w:val="0"/>
          <w:numId w:val="4"/>
        </w:numPr>
        <w:spacing w:lineRule="auto" w:line="276"/>
        <w:ind w:left="0" w:firstLine="567"/>
        <w:rPr/>
      </w:pPr>
      <w:r>
        <w:rPr/>
        <w:t>возможность выдачи аварийных сообщений на экран монитора, принтер или звуковых и световых предупреждений о нештатных и аварийных ситуациях;</w:t>
      </w:r>
    </w:p>
    <w:p>
      <w:pPr>
        <w:pStyle w:val="Style92"/>
        <w:numPr>
          <w:ilvl w:val="0"/>
          <w:numId w:val="4"/>
        </w:numPr>
        <w:spacing w:lineRule="auto" w:line="276"/>
        <w:ind w:left="0" w:firstLine="567"/>
        <w:rPr/>
      </w:pPr>
      <w:r>
        <w:rPr/>
        <w:t>подсчет времени работы оборудования и предупреждение о необходимости проведения профилактических и регламентных работ и, за счет этого, продление срока службы инженерных систем;</w:t>
      </w:r>
    </w:p>
    <w:p>
      <w:pPr>
        <w:pStyle w:val="Style92"/>
        <w:numPr>
          <w:ilvl w:val="0"/>
          <w:numId w:val="4"/>
        </w:numPr>
        <w:spacing w:lineRule="auto" w:line="276"/>
        <w:ind w:left="0" w:firstLine="567"/>
        <w:rPr/>
      </w:pPr>
      <w:r>
        <w:rPr/>
        <w:t>создание единой базы оперативных и архивных параметров технологических процессов (температура, давление, расход, тепловая мощность и количество тепловой энергии теплоносителей, работоспособность оборудования и т. д.);</w:t>
      </w:r>
    </w:p>
    <w:p>
      <w:pPr>
        <w:pStyle w:val="Style92"/>
        <w:numPr>
          <w:ilvl w:val="0"/>
          <w:numId w:val="4"/>
        </w:numPr>
        <w:spacing w:lineRule="auto" w:line="276"/>
        <w:ind w:left="0" w:firstLine="567"/>
        <w:rPr/>
      </w:pPr>
      <w:r>
        <w:rPr/>
        <w:t>дистанционную диагностику оборудования и каналов связи;</w:t>
      </w:r>
    </w:p>
    <w:p>
      <w:pPr>
        <w:pStyle w:val="Style92"/>
        <w:numPr>
          <w:ilvl w:val="0"/>
          <w:numId w:val="4"/>
        </w:numPr>
        <w:spacing w:lineRule="auto" w:line="276"/>
        <w:ind w:left="0" w:firstLine="567"/>
        <w:rPr/>
      </w:pPr>
      <w:r>
        <w:rPr/>
        <w:t>генерацию отчетов об отпуске и потреблении энергии и энергоносителя, отчетов о неиспользованной тепловой энергии по результатам контроля;</w:t>
      </w:r>
    </w:p>
    <w:p>
      <w:pPr>
        <w:pStyle w:val="Style92"/>
        <w:numPr>
          <w:ilvl w:val="0"/>
          <w:numId w:val="4"/>
        </w:numPr>
        <w:spacing w:lineRule="auto" w:line="276"/>
        <w:ind w:left="0" w:firstLine="567"/>
        <w:rPr/>
      </w:pPr>
      <w:r>
        <w:rPr/>
        <w:t>ведение журнала событий;</w:t>
      </w:r>
    </w:p>
    <w:p>
      <w:pPr>
        <w:pStyle w:val="Style92"/>
        <w:numPr>
          <w:ilvl w:val="0"/>
          <w:numId w:val="4"/>
        </w:numPr>
        <w:spacing w:lineRule="auto" w:line="276"/>
        <w:ind w:left="0" w:firstLine="567"/>
        <w:rPr/>
      </w:pPr>
      <w:r>
        <w:rPr/>
        <w:t>представление информации в удобном для анализа виде (таблицы, графики, диаграммы);</w:t>
      </w:r>
    </w:p>
    <w:p>
      <w:pPr>
        <w:pStyle w:val="Style92"/>
        <w:numPr>
          <w:ilvl w:val="0"/>
          <w:numId w:val="4"/>
        </w:numPr>
        <w:spacing w:lineRule="auto" w:line="276"/>
        <w:ind w:left="0" w:firstLine="567"/>
        <w:rPr/>
      </w:pPr>
      <w:r>
        <w:rPr/>
        <w:t>дистанционный диспетчерский контроль за возникновением нештатных ситуаций на автоматизированных объектах;</w:t>
      </w:r>
    </w:p>
    <w:p>
      <w:pPr>
        <w:pStyle w:val="Style92"/>
        <w:numPr>
          <w:ilvl w:val="0"/>
          <w:numId w:val="4"/>
        </w:numPr>
        <w:spacing w:lineRule="auto" w:line="276"/>
        <w:ind w:left="0" w:firstLine="567"/>
        <w:rPr/>
      </w:pPr>
      <w:r>
        <w:rPr/>
        <w:t>систему контроля доступа на автоматизированные объекты;</w:t>
      </w:r>
    </w:p>
    <w:p>
      <w:pPr>
        <w:pStyle w:val="Style92"/>
        <w:numPr>
          <w:ilvl w:val="0"/>
          <w:numId w:val="4"/>
        </w:numPr>
        <w:spacing w:lineRule="auto" w:line="276"/>
        <w:ind w:left="0" w:firstLine="567"/>
        <w:rPr/>
      </w:pPr>
      <w:r>
        <w:rPr/>
        <w:t>расширение возможностей обслуживающего персонала при сокращении численности;</w:t>
      </w:r>
    </w:p>
    <w:p>
      <w:pPr>
        <w:pStyle w:val="Style92"/>
        <w:numPr>
          <w:ilvl w:val="0"/>
          <w:numId w:val="4"/>
        </w:numPr>
        <w:spacing w:lineRule="auto" w:line="276"/>
        <w:ind w:left="0" w:firstLine="567"/>
        <w:rPr/>
      </w:pPr>
      <w:r>
        <w:rPr/>
        <w:t>возможность сбора статистической информации и прогнозирования</w:t>
      </w:r>
    </w:p>
    <w:p>
      <w:pPr>
        <w:pStyle w:val="A1"/>
        <w:rPr/>
      </w:pPr>
      <w:r>
        <w:rPr/>
        <w:t>В связи с этим рекомендуется в перспективе внедрение системы комплексной диспетчеризации на базе всех источников тепловой энергии на территории Камышловского городского округа.</w:t>
      </w:r>
    </w:p>
    <w:p>
      <w:pPr>
        <w:pStyle w:val="ZZZ1"/>
        <w:ind w:left="567" w:firstLine="567"/>
        <w:rPr/>
      </w:pPr>
      <w:r>
        <w:rPr/>
        <w:t>Установка приборов учета энергоресурсов</w:t>
      </w:r>
    </w:p>
    <w:p>
      <w:pPr>
        <w:pStyle w:val="A1"/>
        <w:rPr/>
      </w:pPr>
      <w:r>
        <w:rPr/>
        <w:t>Учет энергетических ресурсов является ключевой точкой внедрения энергосберегающих мероприятий, без которой достижение значительного эффекта практически невозможно.</w:t>
      </w:r>
    </w:p>
    <w:p>
      <w:pPr>
        <w:pStyle w:val="A1"/>
        <w:rPr>
          <w:b/>
          <w:b/>
          <w:bCs/>
        </w:rPr>
      </w:pPr>
      <w:r>
        <w:rPr/>
        <w:t>Схемой теплоснабжения рекомендуется начать ежегодную установку узлов учета тепловой энергии во всех многоквартирных жилых в которых существует возможность технической установки.</w:t>
      </w:r>
    </w:p>
    <w:p>
      <w:pPr>
        <w:pStyle w:val="ZZZ1"/>
        <w:ind w:left="567" w:firstLine="567"/>
        <w:rPr/>
      </w:pPr>
      <w:r>
        <w:br w:type="column"/>
      </w:r>
      <w:r>
        <w:rPr/>
        <w:t>Актуализация схемы теплоснабжения</w:t>
      </w:r>
    </w:p>
    <w:p>
      <w:pPr>
        <w:pStyle w:val="A1"/>
        <w:rPr/>
      </w:pPr>
      <w:r>
        <w:rPr/>
        <w:t>Необходимость ежегодной актуализации схемы теплоснабжения закреплена законодательно статьей 23 Федерального закона от 27 июля 2010 г. N 190-ФЗ "О теплоснабжении". Своевременная актуализация схемы теплоснабжения является важнейшим элементов определения вектора развития городского округа, от которого зависит актуальность реализуемых мероприятий и возможность выявления дефицитов тепловой энергии, которые могут возникнуть в перспективе.</w:t>
      </w:r>
    </w:p>
    <w:p>
      <w:pPr>
        <w:pStyle w:val="A1"/>
        <w:rPr/>
      </w:pPr>
      <w:r>
        <w:rPr/>
        <w:t>Рекомендуется проводить ежегодную актуализацию схемы теплоснабжения Камышловского городского округа</w:t>
      </w:r>
    </w:p>
    <w:p>
      <w:pPr>
        <w:pStyle w:val="229"/>
        <w:rPr/>
      </w:pPr>
      <w:bookmarkStart w:id="138" w:name="_Toc50093567"/>
      <w:bookmarkStart w:id="139" w:name="_Toc50087581"/>
      <w:bookmarkStart w:id="140" w:name="_Toc437278359"/>
      <w:r>
        <w:rPr/>
        <w:t>5.13 Обоснование организации индивидуального теплоснабжения в зонах застройки поселения малоэтажными жилыми зданиями</w:t>
      </w:r>
      <w:bookmarkEnd w:id="138"/>
      <w:bookmarkEnd w:id="139"/>
      <w:bookmarkEnd w:id="140"/>
    </w:p>
    <w:p>
      <w:pPr>
        <w:pStyle w:val="A1"/>
        <w:rPr/>
      </w:pPr>
      <w:r>
        <w:rPr/>
        <w:t>Индивидуальное теплоснабжение малоэтажных и индивидуальных жилых домов может быть целесообразно организовано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 В пункте 7.4 данного раздела приведена информация о планах по децентрализации объектов теплоснабжения.</w:t>
      </w:r>
    </w:p>
    <w:p>
      <w:pPr>
        <w:pStyle w:val="229"/>
        <w:rPr/>
      </w:pPr>
      <w:bookmarkStart w:id="141" w:name="_Toc50093568"/>
      <w:bookmarkStart w:id="142" w:name="_Toc50087582"/>
      <w:r>
        <w:rPr/>
        <w:t>5.14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bookmarkEnd w:id="141"/>
      <w:bookmarkEnd w:id="142"/>
    </w:p>
    <w:p>
      <w:pPr>
        <w:pStyle w:val="A1"/>
        <w:rPr/>
      </w:pPr>
      <w:r>
        <w:rPr/>
        <w:t>Перспективные балансы производства и потребления тепловой мощности, теплоносителя источников тепловой энергии Камышловского городского округа представлены в Разделах 2 и 3 настоящего документа. Обоснованием перспективных балансов является наличие утвержденных муниципальных документов, регулирующих наличие перспективной застройки на территории городского округа: Генеральный план развития, проекты планировки и межевания, информация о которых представлена в Разделе 1 настоящего документа. Дефицитов тепловой энергии в городском округе на расчетный срок не ожидается.</w:t>
      </w:r>
    </w:p>
    <w:p>
      <w:pPr>
        <w:pStyle w:val="229"/>
        <w:rPr/>
      </w:pPr>
      <w:bookmarkStart w:id="143" w:name="_Toc50093569"/>
      <w:bookmarkStart w:id="144" w:name="_Toc50087583"/>
      <w:r>
        <w:rPr/>
        <w:t>5.15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3"/>
      <w:bookmarkEnd w:id="144"/>
    </w:p>
    <w:p>
      <w:pPr>
        <w:pStyle w:val="A1"/>
        <w:rPr/>
      </w:pPr>
      <w:r>
        <w:rPr/>
        <w:t xml:space="preserve">На территории Камышловского городского округа отсутствует целесообразность ввода новых источников тепловой энергии с использованием возобновляемых источников энергии в связи с особенности климато-геодезических характеристик региона, а также в связи с высокими издержками реализации. </w:t>
      </w:r>
    </w:p>
    <w:p>
      <w:pPr>
        <w:pStyle w:val="A1"/>
        <w:rPr>
          <w:b/>
          <w:b/>
          <w:bCs/>
          <w:i/>
          <w:i/>
          <w:iCs/>
        </w:rPr>
      </w:pPr>
      <w:bookmarkStart w:id="145" w:name="_Toc437278360"/>
      <w:bookmarkStart w:id="146" w:name="_Toc50093570"/>
      <w:bookmarkStart w:id="147" w:name="_Toc50087584"/>
      <w:r>
        <w:rPr>
          <w:b/>
          <w:bCs/>
          <w:i/>
          <w:iCs/>
        </w:rPr>
        <w:t>5.16 Обоснование организации теплоснабжения в производственных зонах на территории поселения, городского округа</w:t>
      </w:r>
      <w:bookmarkEnd w:id="145"/>
      <w:bookmarkEnd w:id="146"/>
      <w:bookmarkEnd w:id="147"/>
    </w:p>
    <w:p>
      <w:pPr>
        <w:pStyle w:val="A1"/>
        <w:rPr/>
      </w:pPr>
      <w:r>
        <w:rPr/>
        <w:t>В результате сбора исходных данных проектов организации централизованного теплоснабжения в производственных зонах на территории Камышловского городского округа не выявлено.</w:t>
      </w:r>
      <w:bookmarkStart w:id="148" w:name="_Hlk8034602"/>
      <w:bookmarkEnd w:id="148"/>
    </w:p>
    <w:p>
      <w:pPr>
        <w:pStyle w:val="148"/>
        <w:rPr/>
      </w:pPr>
      <w:bookmarkStart w:id="149" w:name="_Toc50093571"/>
      <w:r>
        <w:rPr/>
        <w:t>Раздел 6. Предложения по строительству и реконструкции тепловых сетей</w:t>
      </w:r>
      <w:bookmarkEnd w:id="149"/>
    </w:p>
    <w:p>
      <w:pPr>
        <w:pStyle w:val="229"/>
        <w:rPr/>
      </w:pPr>
      <w:bookmarkStart w:id="150" w:name="_Toc50093572"/>
      <w:bookmarkStart w:id="151" w:name="_Toc50087588"/>
      <w:bookmarkStart w:id="152" w:name="_Toc437278365"/>
      <w:r>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0"/>
      <w:bookmarkEnd w:id="151"/>
      <w:bookmarkEnd w:id="152"/>
    </w:p>
    <w:p>
      <w:pPr>
        <w:pStyle w:val="A1"/>
        <w:rPr/>
      </w:pPr>
      <w:r>
        <w:rPr/>
        <w:t>В соответствии с Обосновывающими материалами зон с дефицитом тепловой мощности на территории Камышловского городского округа не выявлено, мероприятия не требуются.</w:t>
      </w:r>
    </w:p>
    <w:p>
      <w:pPr>
        <w:pStyle w:val="229"/>
        <w:rPr/>
      </w:pPr>
      <w:bookmarkStart w:id="153" w:name="_Toc50093573"/>
      <w:bookmarkStart w:id="154" w:name="_Toc50087589"/>
      <w:bookmarkStart w:id="155" w:name="_Toc437278366"/>
      <w:r>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153"/>
      <w:bookmarkEnd w:id="154"/>
      <w:bookmarkEnd w:id="155"/>
    </w:p>
    <w:p>
      <w:pPr>
        <w:pStyle w:val="A1"/>
        <w:rPr/>
      </w:pPr>
      <w:r>
        <w:rPr/>
        <w:t xml:space="preserve">На территории Камышловского городского округа утверждены проекты планировки и межевания территории, в соответствии с которыми предполагается увеличение тепловой нагрузки. По данным проектов требуется реализация мероприятий по прокладке тепловых сетей. Информация представлена в таблице </w:t>
      </w:r>
      <w:r>
        <w:rPr/>
        <w:fldChar w:fldCharType="begin"/>
      </w:r>
      <w:r>
        <w:rPr/>
        <w:instrText> REF _Ref50081720 \h </w:instrText>
      </w:r>
      <w:r>
        <w:rPr/>
        <w:fldChar w:fldCharType="separate"/>
      </w:r>
      <w:r>
        <w:rPr/>
        <w:t>Таблица 15</w:t>
      </w:r>
      <w:r>
        <w:rPr/>
        <w:fldChar w:fldCharType="end"/>
      </w:r>
      <w:r>
        <w:rPr/>
        <w:t>.</w:t>
      </w:r>
    </w:p>
    <w:p>
      <w:pPr>
        <w:pStyle w:val="Style85"/>
        <w:rPr/>
      </w:pPr>
      <w:bookmarkStart w:id="156" w:name="_Ref50081720"/>
      <w:r>
        <w:rPr/>
        <w:t xml:space="preserve">Таблица </w:t>
      </w:r>
      <w:r>
        <w:rPr/>
        <w:fldChar w:fldCharType="begin"/>
      </w:r>
      <w:r>
        <w:rPr/>
        <w:instrText> SEQ Таблица \* ARABIC </w:instrText>
      </w:r>
      <w:r>
        <w:rPr/>
        <w:fldChar w:fldCharType="separate"/>
      </w:r>
      <w:r>
        <w:rPr/>
        <w:t>15</w:t>
      </w:r>
      <w:r>
        <w:rPr/>
        <w:fldChar w:fldCharType="end"/>
      </w:r>
      <w:bookmarkEnd w:id="156"/>
      <w:r>
        <w:rPr/>
        <w:t>. Мероприятия по обеспечению проектируемых районов Камышловского городского округа</w:t>
      </w:r>
    </w:p>
    <w:tbl>
      <w:tblPr>
        <w:tblStyle w:val="af"/>
        <w:tblW w:w="10354" w:type="dxa"/>
        <w:jc w:val="left"/>
        <w:tblInd w:w="-289" w:type="dxa"/>
        <w:tblCellMar>
          <w:top w:w="0" w:type="dxa"/>
          <w:left w:w="108" w:type="dxa"/>
          <w:bottom w:w="0" w:type="dxa"/>
          <w:right w:w="108" w:type="dxa"/>
        </w:tblCellMar>
        <w:tblLook w:firstRow="1" w:noVBand="1" w:lastRow="0" w:firstColumn="1" w:lastColumn="0" w:noHBand="0" w:val="04a0"/>
      </w:tblPr>
      <w:tblGrid>
        <w:gridCol w:w="811"/>
        <w:gridCol w:w="2022"/>
        <w:gridCol w:w="7521"/>
      </w:tblGrid>
      <w:tr>
        <w:trPr>
          <w:tblHeader w:val="true"/>
          <w:trHeight w:val="70" w:hRule="atLeast"/>
        </w:trPr>
        <w:tc>
          <w:tcPr>
            <w:tcW w:w="811"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 xml:space="preserve">№ </w:t>
            </w:r>
            <w:r>
              <w:rPr>
                <w:b/>
                <w:sz w:val="20"/>
                <w:szCs w:val="20"/>
              </w:rPr>
              <w:t>п/п</w:t>
            </w:r>
          </w:p>
        </w:tc>
        <w:tc>
          <w:tcPr>
            <w:tcW w:w="2022"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Местоположение</w:t>
            </w:r>
          </w:p>
        </w:tc>
        <w:tc>
          <w:tcPr>
            <w:tcW w:w="7521" w:type="dxa"/>
            <w:tcBorders/>
            <w:shd w:fill="auto" w:val="clear"/>
            <w:vAlign w:val="center"/>
          </w:tcPr>
          <w:p>
            <w:pPr>
              <w:pStyle w:val="Normal"/>
              <w:tabs>
                <w:tab w:val="clear" w:pos="709"/>
                <w:tab w:val="left" w:pos="567" w:leader="none"/>
              </w:tabs>
              <w:spacing w:lineRule="auto" w:line="240" w:before="0" w:after="0"/>
              <w:jc w:val="center"/>
              <w:rPr>
                <w:b/>
                <w:b/>
                <w:sz w:val="20"/>
                <w:szCs w:val="20"/>
              </w:rPr>
            </w:pPr>
            <w:r>
              <w:rPr>
                <w:b/>
                <w:sz w:val="20"/>
                <w:szCs w:val="20"/>
              </w:rPr>
              <w:t>Мероприятия</w:t>
            </w:r>
          </w:p>
        </w:tc>
      </w:tr>
      <w:tr>
        <w:trPr>
          <w:trHeight w:val="216" w:hRule="atLeast"/>
        </w:trPr>
        <w:tc>
          <w:tcPr>
            <w:tcW w:w="10354" w:type="dxa"/>
            <w:gridSpan w:val="3"/>
            <w:tcBorders/>
            <w:shd w:fill="auto" w:val="clear"/>
          </w:tcPr>
          <w:p>
            <w:pPr>
              <w:pStyle w:val="Normal"/>
              <w:tabs>
                <w:tab w:val="clear" w:pos="709"/>
                <w:tab w:val="left" w:pos="567" w:leader="none"/>
              </w:tabs>
              <w:spacing w:lineRule="auto" w:line="240" w:before="0" w:after="0"/>
              <w:jc w:val="center"/>
              <w:rPr>
                <w:sz w:val="20"/>
                <w:szCs w:val="20"/>
              </w:rPr>
            </w:pPr>
            <w:r>
              <w:rPr>
                <w:sz w:val="20"/>
                <w:szCs w:val="20"/>
              </w:rPr>
              <w:t>ТЕПЛОСНАБЖЕНИЕ</w:t>
            </w:r>
          </w:p>
        </w:tc>
      </w:tr>
      <w:tr>
        <w:trPr>
          <w:trHeight w:val="231" w:hRule="atLeast"/>
        </w:trPr>
        <w:tc>
          <w:tcPr>
            <w:tcW w:w="81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1</w:t>
            </w:r>
          </w:p>
          <w:p>
            <w:pPr>
              <w:pStyle w:val="Normal"/>
              <w:spacing w:lineRule="auto" w:line="240" w:before="0" w:after="0"/>
              <w:jc w:val="center"/>
              <w:rPr>
                <w:sz w:val="20"/>
                <w:szCs w:val="20"/>
              </w:rPr>
            </w:pPr>
            <w:r>
              <w:rPr>
                <w:sz w:val="20"/>
                <w:szCs w:val="20"/>
              </w:rPr>
            </w:r>
          </w:p>
        </w:tc>
        <w:tc>
          <w:tcPr>
            <w:tcW w:w="2022" w:type="dxa"/>
            <w:tcBorders/>
            <w:shd w:fill="auto" w:val="clear"/>
            <w:vAlign w:val="center"/>
          </w:tcPr>
          <w:p>
            <w:pPr>
              <w:pStyle w:val="Normal"/>
              <w:tabs>
                <w:tab w:val="clear" w:pos="709"/>
                <w:tab w:val="left" w:pos="567" w:leader="none"/>
              </w:tabs>
              <w:spacing w:lineRule="auto" w:line="240" w:before="0" w:after="0"/>
              <w:rPr>
                <w:sz w:val="20"/>
                <w:szCs w:val="20"/>
              </w:rPr>
            </w:pPr>
            <w:r>
              <w:rPr>
                <w:sz w:val="20"/>
                <w:szCs w:val="20"/>
              </w:rPr>
              <w:t xml:space="preserve">Западная часть </w:t>
            </w:r>
          </w:p>
        </w:tc>
        <w:tc>
          <w:tcPr>
            <w:tcW w:w="752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Строительство сети теплоснабжения двухтрубной Ду=50.</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Строительство сети ГВС двухтрубной, подача Ду=70, обратка Ду=50</w:t>
            </w:r>
          </w:p>
        </w:tc>
      </w:tr>
      <w:tr>
        <w:trPr>
          <w:trHeight w:val="231" w:hRule="atLeast"/>
        </w:trPr>
        <w:tc>
          <w:tcPr>
            <w:tcW w:w="81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2</w:t>
            </w:r>
          </w:p>
        </w:tc>
        <w:tc>
          <w:tcPr>
            <w:tcW w:w="2022" w:type="dxa"/>
            <w:tcBorders/>
            <w:shd w:fill="auto" w:val="clear"/>
            <w:vAlign w:val="center"/>
          </w:tcPr>
          <w:p>
            <w:pPr>
              <w:pStyle w:val="Normal"/>
              <w:tabs>
                <w:tab w:val="clear" w:pos="709"/>
                <w:tab w:val="left" w:pos="567" w:leader="none"/>
              </w:tabs>
              <w:spacing w:lineRule="auto" w:line="240" w:before="0" w:after="0"/>
              <w:rPr>
                <w:sz w:val="20"/>
                <w:szCs w:val="20"/>
              </w:rPr>
            </w:pPr>
            <w:r>
              <w:rPr>
                <w:sz w:val="20"/>
                <w:szCs w:val="20"/>
              </w:rPr>
              <w:t>Центральная часть</w:t>
            </w:r>
          </w:p>
        </w:tc>
        <w:tc>
          <w:tcPr>
            <w:tcW w:w="752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В целях максимального сохранения существующих тепловых сетей проектом предлагается подача тепла от проектируемой БМК по основному теплопроводу 2D=250мм с прокладкой его по ул. Советская до колодца ТК-2, где возможно подключение потребителей по ул. Ленина, а также объектов административного и культурно-социального назначения, сосредоточенных на территории в границах ул. К. Маркса – Ленина – Энгельса - Гагарина.</w:t>
            </w:r>
          </w:p>
          <w:p>
            <w:pPr>
              <w:pStyle w:val="ListParagraph"/>
              <w:numPr>
                <w:ilvl w:val="0"/>
                <w:numId w:val="6"/>
              </w:numPr>
              <w:tabs>
                <w:tab w:val="clear" w:pos="709"/>
                <w:tab w:val="left" w:pos="485" w:leader="none"/>
              </w:tabs>
              <w:spacing w:lineRule="auto" w:line="240" w:before="120" w:after="0"/>
              <w:ind w:left="0" w:hanging="0"/>
              <w:contextualSpacing/>
              <w:rPr>
                <w:sz w:val="20"/>
                <w:szCs w:val="20"/>
              </w:rPr>
            </w:pPr>
            <w:r>
              <w:rPr>
                <w:sz w:val="20"/>
                <w:szCs w:val="20"/>
              </w:rPr>
              <w:t>По мере следования проектируемого теплопровода 2D=250мм по ул. Советской до теплового колодца ТК-2 намечено подключение:</w:t>
            </w:r>
          </w:p>
          <w:p>
            <w:pPr>
              <w:pStyle w:val="Normal"/>
              <w:tabs>
                <w:tab w:val="clear" w:pos="709"/>
                <w:tab w:val="left" w:pos="1139" w:leader="none"/>
              </w:tabs>
              <w:spacing w:lineRule="auto" w:line="240" w:before="0" w:after="0"/>
              <w:ind w:firstLine="572"/>
              <w:rPr>
                <w:sz w:val="20"/>
                <w:szCs w:val="20"/>
              </w:rPr>
            </w:pPr>
            <w:r>
              <w:rPr>
                <w:sz w:val="20"/>
                <w:szCs w:val="20"/>
              </w:rPr>
              <w:t>-застройки, расположенной в границах ул. Гагарина - Куйбышева – Ленинградская - Жукова, а также зданий, по ул. Гагарина,1, ул. К. Маркса, 55, 57 по существующему теплопроводу 2D=150 мм;</w:t>
            </w:r>
          </w:p>
          <w:p>
            <w:pPr>
              <w:pStyle w:val="Normal"/>
              <w:tabs>
                <w:tab w:val="clear" w:pos="709"/>
                <w:tab w:val="left" w:pos="1139" w:leader="none"/>
              </w:tabs>
              <w:spacing w:lineRule="auto" w:line="240" w:before="0" w:after="0"/>
              <w:ind w:firstLine="572"/>
              <w:rPr>
                <w:sz w:val="20"/>
                <w:szCs w:val="20"/>
              </w:rPr>
            </w:pPr>
            <w:r>
              <w:rPr>
                <w:sz w:val="20"/>
                <w:szCs w:val="20"/>
              </w:rPr>
              <w:t>-жилого дома по адресу ул. Комсомольская, 9 по существующему теплопроводу 2D=80мм;</w:t>
            </w:r>
          </w:p>
          <w:p>
            <w:pPr>
              <w:pStyle w:val="Normal"/>
              <w:tabs>
                <w:tab w:val="clear" w:pos="709"/>
                <w:tab w:val="left" w:pos="1139" w:leader="none"/>
              </w:tabs>
              <w:spacing w:lineRule="auto" w:line="240" w:before="0" w:after="0"/>
              <w:ind w:firstLine="572"/>
              <w:rPr>
                <w:sz w:val="20"/>
                <w:szCs w:val="20"/>
              </w:rPr>
            </w:pPr>
            <w:r>
              <w:rPr>
                <w:sz w:val="20"/>
                <w:szCs w:val="20"/>
              </w:rPr>
              <w:t>-потребителей, расположенных по ул. Гагарина, Комсомольская - по проектируемому теплопроводу 2D=100мм.</w:t>
            </w:r>
          </w:p>
        </w:tc>
      </w:tr>
      <w:tr>
        <w:trPr>
          <w:trHeight w:val="231" w:hRule="atLeast"/>
        </w:trPr>
        <w:tc>
          <w:tcPr>
            <w:tcW w:w="81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5</w:t>
            </w:r>
          </w:p>
        </w:tc>
        <w:tc>
          <w:tcPr>
            <w:tcW w:w="2022" w:type="dxa"/>
            <w:tcBorders/>
            <w:shd w:fill="auto" w:val="clear"/>
            <w:vAlign w:val="center"/>
          </w:tcPr>
          <w:p>
            <w:pPr>
              <w:pStyle w:val="Normal"/>
              <w:tabs>
                <w:tab w:val="clear" w:pos="709"/>
                <w:tab w:val="left" w:pos="567" w:leader="none"/>
              </w:tabs>
              <w:spacing w:lineRule="auto" w:line="240" w:before="0" w:after="0"/>
              <w:rPr>
                <w:sz w:val="20"/>
                <w:szCs w:val="20"/>
              </w:rPr>
            </w:pPr>
            <w:r>
              <w:rPr>
                <w:sz w:val="20"/>
                <w:szCs w:val="20"/>
              </w:rPr>
              <w:t>Восточная часть</w:t>
            </w:r>
          </w:p>
        </w:tc>
        <w:tc>
          <w:tcPr>
            <w:tcW w:w="752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Источником теплоснабжения объектов логистического комплекса планируется пристроенная газовая котельная с учетом прокладки новых участков тепловых сетей.</w:t>
            </w:r>
          </w:p>
        </w:tc>
      </w:tr>
      <w:tr>
        <w:trPr>
          <w:trHeight w:val="67" w:hRule="atLeast"/>
        </w:trPr>
        <w:tc>
          <w:tcPr>
            <w:tcW w:w="81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6</w:t>
            </w:r>
          </w:p>
        </w:tc>
        <w:tc>
          <w:tcPr>
            <w:tcW w:w="2022" w:type="dxa"/>
            <w:tcBorders/>
            <w:shd w:fill="auto" w:val="clear"/>
            <w:vAlign w:val="center"/>
          </w:tcPr>
          <w:p>
            <w:pPr>
              <w:pStyle w:val="Normal"/>
              <w:tabs>
                <w:tab w:val="clear" w:pos="709"/>
                <w:tab w:val="left" w:pos="567" w:leader="none"/>
              </w:tabs>
              <w:spacing w:lineRule="auto" w:line="240" w:before="0" w:after="0"/>
              <w:rPr>
                <w:sz w:val="20"/>
                <w:szCs w:val="20"/>
              </w:rPr>
            </w:pPr>
            <w:r>
              <w:rPr>
                <w:sz w:val="20"/>
                <w:szCs w:val="20"/>
              </w:rPr>
              <w:t>Западная часть Энгельса</w:t>
            </w:r>
          </w:p>
        </w:tc>
        <w:tc>
          <w:tcPr>
            <w:tcW w:w="752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Система теплоснабжения предлагается четырехтрубная, подземной прокладки. Диаметр проектируемых тепловых сетей:</w:t>
            </w:r>
          </w:p>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1.Отопление Т1Т2 Ду=100мм;</w:t>
            </w:r>
          </w:p>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2.Горячее водоснабжение Т3 Ду=70мм, Т4 Ду=50мм</w:t>
            </w:r>
          </w:p>
        </w:tc>
      </w:tr>
      <w:tr>
        <w:trPr>
          <w:trHeight w:val="67" w:hRule="atLeast"/>
        </w:trPr>
        <w:tc>
          <w:tcPr>
            <w:tcW w:w="811" w:type="dxa"/>
            <w:tcBorders/>
            <w:shd w:fill="auto" w:val="clear"/>
            <w:vAlign w:val="center"/>
          </w:tcPr>
          <w:p>
            <w:pPr>
              <w:pStyle w:val="Normal"/>
              <w:tabs>
                <w:tab w:val="clear" w:pos="709"/>
                <w:tab w:val="left" w:pos="567" w:leader="none"/>
              </w:tabs>
              <w:spacing w:lineRule="auto" w:line="240" w:before="0" w:after="0"/>
              <w:jc w:val="center"/>
              <w:rPr>
                <w:sz w:val="20"/>
                <w:szCs w:val="20"/>
              </w:rPr>
            </w:pPr>
            <w:r>
              <w:rPr>
                <w:sz w:val="20"/>
                <w:szCs w:val="20"/>
              </w:rPr>
              <w:t>7</w:t>
            </w:r>
          </w:p>
        </w:tc>
        <w:tc>
          <w:tcPr>
            <w:tcW w:w="2022" w:type="dxa"/>
            <w:tcBorders/>
            <w:shd w:fill="auto" w:val="clear"/>
            <w:vAlign w:val="center"/>
          </w:tcPr>
          <w:p>
            <w:pPr>
              <w:pStyle w:val="Normal"/>
              <w:tabs>
                <w:tab w:val="clear" w:pos="709"/>
                <w:tab w:val="left" w:pos="567" w:leader="none"/>
              </w:tabs>
              <w:spacing w:lineRule="auto" w:line="240" w:before="0" w:after="0"/>
              <w:rPr>
                <w:sz w:val="20"/>
                <w:szCs w:val="20"/>
              </w:rPr>
            </w:pPr>
            <w:r>
              <w:rPr>
                <w:sz w:val="20"/>
                <w:szCs w:val="20"/>
              </w:rPr>
              <w:t>Северная часть</w:t>
            </w:r>
          </w:p>
        </w:tc>
        <w:tc>
          <w:tcPr>
            <w:tcW w:w="7521" w:type="dxa"/>
            <w:tcBorders/>
            <w:shd w:fill="auto" w:val="clear"/>
          </w:tcPr>
          <w:p>
            <w:pPr>
              <w:pStyle w:val="ListParagraph"/>
              <w:numPr>
                <w:ilvl w:val="0"/>
                <w:numId w:val="6"/>
              </w:numPr>
              <w:tabs>
                <w:tab w:val="clear" w:pos="709"/>
                <w:tab w:val="left" w:pos="485" w:leader="none"/>
              </w:tabs>
              <w:spacing w:lineRule="auto" w:line="240" w:before="120" w:after="0"/>
              <w:ind w:left="0" w:hanging="0"/>
              <w:contextualSpacing/>
              <w:jc w:val="both"/>
              <w:rPr>
                <w:sz w:val="20"/>
                <w:szCs w:val="20"/>
              </w:rPr>
            </w:pPr>
            <w:r>
              <w:rPr>
                <w:sz w:val="20"/>
                <w:szCs w:val="20"/>
              </w:rPr>
              <w:t>Планируемая точка подключения – существующие теплопроводы в районе секционной застройки по ул. Ирбитской.</w:t>
            </w:r>
          </w:p>
        </w:tc>
      </w:tr>
    </w:tbl>
    <w:p>
      <w:pPr>
        <w:pStyle w:val="A1"/>
        <w:rPr/>
      </w:pPr>
      <w:r>
        <w:rPr/>
      </w:r>
    </w:p>
    <w:p>
      <w:pPr>
        <w:pStyle w:val="229"/>
        <w:rPr/>
      </w:pPr>
      <w:bookmarkStart w:id="157" w:name="_Toc437278367"/>
      <w:bookmarkStart w:id="158" w:name="_Toc50093574"/>
      <w:bookmarkStart w:id="159" w:name="_Toc50087590"/>
      <w:r>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7"/>
      <w:bookmarkEnd w:id="158"/>
      <w:bookmarkEnd w:id="159"/>
    </w:p>
    <w:p>
      <w:pPr>
        <w:sectPr>
          <w:headerReference w:type="default" r:id="rId53"/>
          <w:footerReference w:type="default" r:id="rId54"/>
          <w:type w:val="nextPage"/>
          <w:pgSz w:w="11906" w:h="16838"/>
          <w:pgMar w:left="1134" w:right="567" w:header="1134" w:top="1693" w:footer="0" w:bottom="1134" w:gutter="0"/>
          <w:pgNumType w:fmt="decimal"/>
          <w:formProt w:val="false"/>
          <w:textDirection w:val="lrTb"/>
          <w:docGrid w:type="default" w:linePitch="360" w:charSpace="0"/>
        </w:sectPr>
        <w:pStyle w:val="Style139"/>
        <w:rPr>
          <w:vanish/>
        </w:rPr>
      </w:pPr>
      <w:r>
        <w:rPr/>
        <w:t xml:space="preserve">На территории Камышловского городского округ для переключения потребителей, представленных в таблице 1 Приложения №2, систем теплоснабжения выводимых из эксплуатации угольных котельных, для снижения потерь тепловой энергии, восстановления гидравлического режима работы тепловых сетей, а также с целью обеспечения нормативного уровня надежности и безопасности теплоснабжения необходима прокладка новых и замена старых магистральных и квартальных тепловых сетей протяженностью 16,95 км.  Параметры и стоимость перекладки тепловых сетей по источникам приведены в таблице </w:t>
      </w:r>
      <w:r>
        <w:rPr/>
        <w:fldChar w:fldCharType="begin"/>
      </w:r>
      <w:r>
        <w:rPr/>
        <w:instrText> REF _Ref50081824 \h </w:instrText>
      </w:r>
      <w:r>
        <w:rPr/>
        <w:fldChar w:fldCharType="separate"/>
      </w:r>
      <w:r>
        <w:rPr/>
        <w:t>Таблица 16</w:t>
      </w:r>
      <w:r>
        <w:rPr/>
        <w:fldChar w:fldCharType="end"/>
      </w:r>
      <w:r>
        <w:rPr/>
        <w:t xml:space="preserve">. В связи с закрытием угольных котельных и переводом на газ потребителей частного жилого фонда выводится из эксплуатации 5,1 км тепловых сетей, параметры которых представлены в таблице </w:t>
      </w:r>
    </w:p>
    <w:p>
      <w:pPr>
        <w:pStyle w:val="Style139"/>
        <w:rPr/>
      </w:pPr>
      <w:r>
        <w:rPr/>
        <w:fldChar w:fldCharType="begin"/>
      </w:r>
      <w:r>
        <w:rPr/>
        <w:instrText> REF _Ref6920024 \h </w:instrText>
      </w:r>
      <w:r>
        <w:rPr/>
        <w:fldChar w:fldCharType="separate"/>
      </w:r>
      <w:r>
        <w:rPr/>
      </w:r>
      <w:r>
        <w:rPr/>
        <w:fldChar w:fldCharType="end"/>
      </w:r>
      <w:r>
        <w:rPr/>
        <w:t>.</w:t>
      </w:r>
    </w:p>
    <w:p>
      <w:pPr>
        <w:pStyle w:val="Style85"/>
        <w:rPr/>
      </w:pPr>
      <w:bookmarkStart w:id="160" w:name="_Ref50081824"/>
      <w:r>
        <w:rPr/>
        <w:t xml:space="preserve">Таблица </w:t>
      </w:r>
      <w:r>
        <w:rPr/>
        <w:fldChar w:fldCharType="begin"/>
      </w:r>
      <w:r>
        <w:rPr/>
        <w:instrText> SEQ Таблица \* ARABIC </w:instrText>
      </w:r>
      <w:r>
        <w:rPr/>
        <w:fldChar w:fldCharType="separate"/>
      </w:r>
      <w:r>
        <w:rPr/>
        <w:t>16</w:t>
      </w:r>
      <w:r>
        <w:rPr/>
        <w:fldChar w:fldCharType="end"/>
      </w:r>
      <w:bookmarkEnd w:id="160"/>
      <w:r>
        <w:rPr/>
        <w:t>. Цена на строительство тепловых сетей (бесканальная)</w:t>
      </w:r>
    </w:p>
    <w:tbl>
      <w:tblPr>
        <w:tblW w:w="10189" w:type="dxa"/>
        <w:jc w:val="left"/>
        <w:tblInd w:w="0" w:type="dxa"/>
        <w:tblCellMar>
          <w:top w:w="0" w:type="dxa"/>
          <w:left w:w="74" w:type="dxa"/>
          <w:bottom w:w="0" w:type="dxa"/>
          <w:right w:w="74" w:type="dxa"/>
        </w:tblCellMar>
        <w:tblLook w:firstRow="1" w:noVBand="1" w:lastRow="0" w:firstColumn="1" w:lastColumn="0" w:noHBand="0" w:val="04a0"/>
      </w:tblPr>
      <w:tblGrid>
        <w:gridCol w:w="2119"/>
        <w:gridCol w:w="5950"/>
        <w:gridCol w:w="2120"/>
      </w:tblGrid>
      <w:tr>
        <w:trPr>
          <w:tblHeader w:val="true"/>
        </w:trPr>
        <w:tc>
          <w:tcPr>
            <w:tcW w:w="806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jc w:val="both"/>
              <w:rPr>
                <w:lang w:val="ru-RU"/>
              </w:rPr>
            </w:pPr>
            <w:r>
              <w:rPr>
                <w:lang w:val="ru-RU"/>
              </w:rPr>
              <w:t>Бесканальная прокладка трубопроводов теплоснабжения в армопенобетонной изоляции при условном давлении 1,6 МПа, температуре 150°С, в сухих грунтах в траншеях с откосами с погрузкой и вывозом грунта автотранспортом, диаметр труб:</w:t>
            </w:r>
          </w:p>
        </w:tc>
        <w:tc>
          <w:tcPr>
            <w:tcW w:w="2120"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rPr>
                <w:lang w:val="ru-RU"/>
              </w:rPr>
            </w:pPr>
            <w:r>
              <w:rPr>
                <w:lang w:val="ru-RU"/>
              </w:rPr>
              <w:t>тыс. руб.</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13-03-001-01</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80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10 276,77</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13-03-001-02</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100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11 415,62</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13-03-001-03</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125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12 775,22</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13-03-001-04</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150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15 424,99</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13-03-001-05</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200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18 203,37</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13-03-001-06</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250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22 375,49</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13-03-001-07</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300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24 924,54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13-03-001-08</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400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33 849,04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13-03-001-09</w:t>
            </w:r>
          </w:p>
        </w:tc>
        <w:tc>
          <w:tcPr>
            <w:tcW w:w="595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rPr>
              <w:t>500 мм</w:t>
            </w:r>
          </w:p>
        </w:tc>
        <w:tc>
          <w:tcPr>
            <w:tcW w:w="212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rPr>
              <w:t>46 641,89</w:t>
            </w:r>
          </w:p>
        </w:tc>
      </w:tr>
    </w:tbl>
    <w:p>
      <w:pPr>
        <w:pStyle w:val="Style85"/>
        <w:rPr/>
      </w:pPr>
      <w:r>
        <w:rPr/>
        <w:t xml:space="preserve">Таблица </w:t>
      </w:r>
      <w:r>
        <w:rPr/>
        <w:fldChar w:fldCharType="begin"/>
      </w:r>
      <w:r>
        <w:rPr/>
        <w:instrText> SEQ Таблица \* ARABIC </w:instrText>
      </w:r>
      <w:r>
        <w:rPr/>
        <w:fldChar w:fldCharType="separate"/>
      </w:r>
      <w:r>
        <w:rPr/>
        <w:t>17</w:t>
      </w:r>
      <w:r>
        <w:rPr/>
        <w:fldChar w:fldCharType="end"/>
      </w:r>
      <w:r>
        <w:rPr/>
        <w:t>. Цена на строительство тепловых сетей (надземная)</w:t>
      </w:r>
    </w:p>
    <w:tbl>
      <w:tblPr>
        <w:tblW w:w="10189" w:type="dxa"/>
        <w:jc w:val="left"/>
        <w:tblInd w:w="0" w:type="dxa"/>
        <w:tblCellMar>
          <w:top w:w="0" w:type="dxa"/>
          <w:left w:w="74" w:type="dxa"/>
          <w:bottom w:w="0" w:type="dxa"/>
          <w:right w:w="74" w:type="dxa"/>
        </w:tblCellMar>
        <w:tblLook w:firstRow="1" w:noVBand="1" w:lastRow="0" w:firstColumn="1" w:lastColumn="0" w:noHBand="0" w:val="04a0"/>
      </w:tblPr>
      <w:tblGrid>
        <w:gridCol w:w="1876"/>
        <w:gridCol w:w="6186"/>
        <w:gridCol w:w="7"/>
        <w:gridCol w:w="2120"/>
      </w:tblGrid>
      <w:tr>
        <w:trPr>
          <w:tblHeader w:val="true"/>
        </w:trPr>
        <w:tc>
          <w:tcPr>
            <w:tcW w:w="8069"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jc w:val="both"/>
              <w:rPr>
                <w:lang w:val="ru-RU"/>
              </w:rPr>
            </w:pPr>
            <w:r>
              <w:rPr>
                <w:lang w:val="ru-RU"/>
              </w:rPr>
              <w:t>Надземная прокладка трубопроводов теплоснабжения в изоляции из пенополиуретана (ППУ) при условном давлении 1,6 МПа, температуре 150°С на низких опорах</w:t>
            </w:r>
          </w:p>
        </w:tc>
        <w:tc>
          <w:tcPr>
            <w:tcW w:w="2120"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rPr>
                <w:lang w:val="ru-RU"/>
              </w:rPr>
            </w:pPr>
            <w:r>
              <w:rPr>
                <w:lang w:val="ru-RU"/>
              </w:rPr>
              <w:t>тыс. руб.</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13-06-002-01</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80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11 611,40</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13-06-002-02</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100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12 528,09</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13-06-002-03</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125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13 252,23</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13-06-002-04</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150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14 048,50</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13-06-002-05</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200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17 233,23</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13-06-002-06</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250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22 577,05</w:t>
            </w:r>
          </w:p>
        </w:tc>
      </w:tr>
      <w:tr>
        <w:trPr/>
        <w:tc>
          <w:tcPr>
            <w:tcW w:w="187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13-06-002-07</w:t>
            </w:r>
          </w:p>
        </w:tc>
        <w:tc>
          <w:tcPr>
            <w:tcW w:w="6186"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6"/>
                <w:color w:val="333333"/>
              </w:rPr>
              <w:t>300 мм</w:t>
            </w:r>
          </w:p>
        </w:tc>
        <w:tc>
          <w:tcPr>
            <w:tcW w:w="2127" w:type="dxa"/>
            <w:gridSpan w:val="2"/>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lang w:val="ru-RU"/>
              </w:rPr>
            </w:pPr>
            <w:r>
              <w:rPr>
                <w:rStyle w:val="Headera5"/>
                <w:color w:val="333333"/>
              </w:rPr>
              <w:t>24 066,64 </w:t>
            </w:r>
          </w:p>
        </w:tc>
      </w:tr>
    </w:tbl>
    <w:p>
      <w:pPr>
        <w:pStyle w:val="A1"/>
        <w:rPr/>
      </w:pPr>
      <w:bookmarkStart w:id="161" w:name="_Ref6920024"/>
      <w:bookmarkEnd w:id="161"/>
      <w:r>
        <w:rPr/>
        <w:tab/>
      </w:r>
    </w:p>
    <w:p>
      <w:pPr>
        <w:pStyle w:val="229"/>
        <w:rPr/>
      </w:pPr>
      <w:bookmarkStart w:id="162" w:name="_Toc50093575"/>
      <w:bookmarkStart w:id="163" w:name="_Toc50087591"/>
      <w:bookmarkStart w:id="164" w:name="_Toc437278368"/>
      <w:bookmarkStart w:id="165" w:name="_Ref69200241"/>
      <w:bookmarkEnd w:id="165"/>
      <w:r>
        <w:rPr/>
        <w:t>6.4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2"/>
      <w:bookmarkEnd w:id="163"/>
      <w:bookmarkEnd w:id="164"/>
    </w:p>
    <w:p>
      <w:pPr>
        <w:pStyle w:val="A1"/>
        <w:rPr/>
      </w:pPr>
      <w:bookmarkStart w:id="166" w:name="_Ref437273560"/>
      <w:bookmarkEnd w:id="166"/>
      <w:r>
        <w:rPr/>
        <w:t xml:space="preserve">Модернизации тепловых сетей за счет перевода котельных в пиковый режим работы на территории Камышловского городского округа не предполагается. </w:t>
      </w:r>
    </w:p>
    <w:p>
      <w:pPr>
        <w:pStyle w:val="229"/>
        <w:rPr/>
      </w:pPr>
      <w:bookmarkStart w:id="167" w:name="_Toc50093576"/>
      <w:bookmarkStart w:id="168" w:name="_Toc50087592"/>
      <w:bookmarkStart w:id="169" w:name="_Toc437278369"/>
      <w:bookmarkStart w:id="170" w:name="_Ref4372735601"/>
      <w:bookmarkEnd w:id="170"/>
      <w:r>
        <w:rPr/>
        <w:t>6.5 Строительство тепловых сетей для обеспечения нормативной надежности теплоснабжения</w:t>
      </w:r>
      <w:bookmarkEnd w:id="167"/>
      <w:bookmarkEnd w:id="168"/>
      <w:bookmarkEnd w:id="169"/>
    </w:p>
    <w:p>
      <w:pPr>
        <w:pStyle w:val="A1"/>
        <w:rPr/>
      </w:pPr>
      <w:r>
        <w:rPr/>
        <w:t>С целью обеспечения нормативной надежности теплоснабжения рекомендуется реализация следующих мероприятий:</w:t>
      </w:r>
    </w:p>
    <w:p>
      <w:pPr>
        <w:pStyle w:val="A1"/>
        <w:rPr/>
      </w:pPr>
      <w:r>
        <w:rPr/>
        <w:t xml:space="preserve">Установка общедомовых приборов учета МКД в соответствии с 261 ФЗ </w:t>
        <w:br/>
        <w:t xml:space="preserve">(2020-2025 гг.). В соответствии со статьей 13 Федерального закона от 23.11.2009 № 261-ФЗ </w:t>
        <w:br/>
        <w:t>«Об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Федеральным законом от 29.07.2017 № 279-ФЗ внесены изменения в данную статью.</w:t>
      </w:r>
    </w:p>
    <w:p>
      <w:pPr>
        <w:pStyle w:val="A1"/>
        <w:rPr/>
      </w:pPr>
      <w:r>
        <w:rPr/>
        <w:t>В частности, отменено исключение по установке приборов учёта тепловой энергии в зданиях, максимальный объем потребления тепловой энергии которых составляет менее чем две десятых гигакалории в час (0,2 Гкал/ч), при котором ранее допускалось не устанавливать приборы учёта. Под данные изменения попадают здания, средняя площадь которых составляет менее 2500 м</w:t>
      </w:r>
      <w:r>
        <w:rPr>
          <w:vertAlign w:val="superscript"/>
        </w:rPr>
        <w:t>2</w:t>
      </w:r>
      <w:r>
        <w:rPr/>
        <w:t> (с учётом характеристик здания).</w:t>
      </w:r>
    </w:p>
    <w:p>
      <w:pPr>
        <w:pStyle w:val="A1"/>
        <w:rPr/>
      </w:pPr>
      <w:r>
        <w:rPr/>
        <w:t>В связи с этим в срок до 1 января 2019 года собственники:</w:t>
      </w:r>
    </w:p>
    <w:p>
      <w:pPr>
        <w:pStyle w:val="Style92"/>
        <w:numPr>
          <w:ilvl w:val="0"/>
          <w:numId w:val="4"/>
        </w:numPr>
        <w:spacing w:lineRule="auto" w:line="276"/>
        <w:ind w:left="0" w:firstLine="567"/>
        <w:rPr/>
      </w:pPr>
      <w:r>
        <w:rPr/>
        <w:t>зданий, строений, сооружений, используемых для размещения органов государственной власти (местного самоуправления) и находящихся в государственной (муниципальной) собственности;</w:t>
      </w:r>
    </w:p>
    <w:p>
      <w:pPr>
        <w:pStyle w:val="Style92"/>
        <w:numPr>
          <w:ilvl w:val="0"/>
          <w:numId w:val="4"/>
        </w:numPr>
        <w:spacing w:lineRule="auto" w:line="276"/>
        <w:ind w:left="0" w:firstLine="567"/>
        <w:rPr/>
      </w:pPr>
      <w:r>
        <w:rPr/>
        <w:t>зданий, строений, сооружений и иных объектов, при эксплуатации которых используются энергетические ресурсы (в том числе временных объектов);</w:t>
      </w:r>
    </w:p>
    <w:p>
      <w:pPr>
        <w:pStyle w:val="Style92"/>
        <w:numPr>
          <w:ilvl w:val="0"/>
          <w:numId w:val="4"/>
        </w:numPr>
        <w:spacing w:lineRule="auto" w:line="276"/>
        <w:ind w:left="0" w:firstLine="567"/>
        <w:rPr/>
      </w:pPr>
      <w:r>
        <w:rPr/>
        <w:t>многоквартирных домов;</w:t>
      </w:r>
    </w:p>
    <w:p>
      <w:pPr>
        <w:pStyle w:val="Style92"/>
        <w:numPr>
          <w:ilvl w:val="0"/>
          <w:numId w:val="4"/>
        </w:numPr>
        <w:spacing w:lineRule="auto" w:line="276"/>
        <w:ind w:left="0" w:firstLine="567"/>
        <w:rPr/>
      </w:pPr>
      <w:r>
        <w:rPr/>
        <w:t>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энергии которых составляет менее чем 0,2 Гкал/ч, обязаны обеспечить оснащение приборами учёта тепловой энергии при наличии технической возможности их установки, а также ввод установленных приборов учёта в эксплуатацию.</w:t>
      </w:r>
    </w:p>
    <w:p>
      <w:pPr>
        <w:pStyle w:val="A1"/>
        <w:rPr/>
      </w:pPr>
      <w:r>
        <w:rPr/>
        <w:t>Фактически установлено на 2020 г. – 150 шт. Подлежит обязательному оснащению приборами 152 МКД. Необходимо оснастить ОДПУ – 2 объекта;</w:t>
      </w:r>
      <w:bookmarkStart w:id="171" w:name="OLE_LINK38"/>
      <w:bookmarkEnd w:id="171"/>
    </w:p>
    <w:p>
      <w:pPr>
        <w:pStyle w:val="A1"/>
        <w:numPr>
          <w:ilvl w:val="0"/>
          <w:numId w:val="3"/>
        </w:numPr>
        <w:ind w:left="0" w:firstLine="567"/>
        <w:rPr/>
      </w:pPr>
      <w:r>
        <w:rPr/>
        <w:t xml:space="preserve">Установка балансировочных дросселирующих клапанов на вводы потребителей (в 2 этапа: первый – для потребителей с нагрузкой более 0,1 Гкал/ч, второй – для оставшихся) (2021-2026 гг.). </w:t>
      </w:r>
    </w:p>
    <w:p>
      <w:pPr>
        <w:pStyle w:val="A1"/>
        <w:numPr>
          <w:ilvl w:val="0"/>
          <w:numId w:val="3"/>
        </w:numPr>
        <w:ind w:left="0" w:firstLine="567"/>
        <w:rPr/>
      </w:pPr>
      <w:r>
        <w:rPr/>
        <w:t xml:space="preserve">Проведение гидравлической наладки систем теплоснабжения Камышловского городского округа (электронное моделирование с целью ручной регулировки балансировочными клапанами) (2020-2025 гг.). Одним из наиболее эффективных способов определения потенциала энергосбережения в системах теплоснабжения является разработка электронных моделей, позволяющих проводить разнообразные теплогидравлические расчеты и формировать мероприятия по модернизации и реконструкции. </w:t>
      </w:r>
    </w:p>
    <w:p>
      <w:pPr>
        <w:pStyle w:val="A1"/>
        <w:numPr>
          <w:ilvl w:val="0"/>
          <w:numId w:val="3"/>
        </w:numPr>
        <w:ind w:left="0" w:firstLine="567"/>
        <w:rPr/>
      </w:pPr>
      <w:r>
        <w:rPr/>
        <w:t xml:space="preserve">Инвентаризация тепловых сетей источников тепловой энергии, а также запорно-регулирующего оборудования на них (обеспечить возможность потенциальной передачи в концессию) (2020-2021 гг.). Инвентаризация бесхозяйных объектов недвижимого имущества, используемых для передачи ресурсов является необходимой частью планомерного эффективного развития городского поселения. Инвентаризация необходима для осуществления концессионного соглашения, либо при передаче энергетического хозяйства в аренду. </w:t>
      </w:r>
    </w:p>
    <w:p>
      <w:pPr>
        <w:pStyle w:val="229"/>
        <w:rPr/>
      </w:pPr>
      <w:bookmarkStart w:id="172" w:name="_Toc50093577"/>
      <w:bookmarkStart w:id="173" w:name="_Toc50087593"/>
      <w:bookmarkStart w:id="174" w:name="_Toc437278370"/>
      <w:r>
        <w:rPr/>
        <w:t>6.6 Реконструкция тепловых сетей с увеличением диаметра трубопроводов для обеспечения перспективных приростов тепловой нагрузки</w:t>
      </w:r>
      <w:bookmarkEnd w:id="172"/>
      <w:bookmarkEnd w:id="173"/>
      <w:bookmarkEnd w:id="174"/>
    </w:p>
    <w:p>
      <w:pPr>
        <w:pStyle w:val="A1"/>
        <w:rPr/>
      </w:pPr>
      <w:bookmarkStart w:id="175" w:name="_Hlk43325684"/>
      <w:bookmarkEnd w:id="175"/>
      <w:r>
        <w:rPr/>
        <w:t>Информация о реконструкции тепловых сетях с увеличением диаметра трубопроводов для обеспечения перспективной тепловой нагрузки представлена в п. 8.2.</w:t>
      </w:r>
    </w:p>
    <w:p>
      <w:pPr>
        <w:pStyle w:val="229"/>
        <w:rPr/>
      </w:pPr>
      <w:bookmarkStart w:id="176" w:name="_Toc50093578"/>
      <w:bookmarkStart w:id="177" w:name="_Toc50087594"/>
      <w:bookmarkStart w:id="178" w:name="_Hlk433256841"/>
      <w:bookmarkEnd w:id="178"/>
      <w:r>
        <w:rPr/>
        <w:t xml:space="preserve">6.7 </w:t>
      </w:r>
      <w:bookmarkStart w:id="179" w:name="_Toc437278371"/>
      <w:r>
        <w:rPr/>
        <w:t>Реконструкция тепловых сетей, подлежащих замене в связи с исчерпанием эксплуатационного ресурса</w:t>
      </w:r>
      <w:bookmarkEnd w:id="176"/>
      <w:bookmarkEnd w:id="177"/>
      <w:bookmarkEnd w:id="179"/>
    </w:p>
    <w:p>
      <w:pPr>
        <w:pStyle w:val="A1"/>
        <w:rPr/>
      </w:pPr>
      <w:r>
        <w:rPr/>
        <w:t>Ежегодная замена 1 км ветхих тепловых сетей (2% от общего фонда тепловых сетей) в двухтрубном исчислении с целью снижения аварийности и повышения надежности систем теплоснабжения;</w:t>
      </w:r>
    </w:p>
    <w:p>
      <w:pPr>
        <w:pStyle w:val="A1"/>
        <w:rPr/>
      </w:pPr>
      <w:r>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недоотпуска тепловой энергии потребителю. </w:t>
      </w:r>
    </w:p>
    <w:p>
      <w:pPr>
        <w:pStyle w:val="229"/>
        <w:rPr/>
      </w:pPr>
      <w:bookmarkStart w:id="180" w:name="_Toc50093579"/>
      <w:bookmarkStart w:id="181" w:name="_Toc50087595"/>
      <w:bookmarkStart w:id="182" w:name="_Toc437278372"/>
      <w:r>
        <w:rPr/>
        <w:t>6.8 Строительство и реконструкция насосных станций</w:t>
      </w:r>
      <w:bookmarkEnd w:id="180"/>
      <w:bookmarkEnd w:id="181"/>
      <w:bookmarkEnd w:id="182"/>
    </w:p>
    <w:p>
      <w:pPr>
        <w:pStyle w:val="A1"/>
        <w:rPr>
          <w:color w:val="FF0000"/>
        </w:rPr>
      </w:pPr>
      <w:r>
        <w:rPr/>
        <w:t>Мероприятий по строительству и реконструкции насосных станций в системах теплоснабжения котельных Камышловского городского округа не предусматривается.</w:t>
      </w:r>
    </w:p>
    <w:p>
      <w:pPr>
        <w:pStyle w:val="229"/>
        <w:rPr/>
      </w:pPr>
      <w:bookmarkStart w:id="183" w:name="_Toc50093580"/>
      <w:bookmarkStart w:id="184" w:name="_Toc50087596"/>
      <w:r>
        <w:rPr/>
        <w:t>6.9 Гидравлическая промывка систем теплопотребления</w:t>
      </w:r>
      <w:bookmarkEnd w:id="183"/>
      <w:bookmarkEnd w:id="184"/>
    </w:p>
    <w:p>
      <w:pPr>
        <w:pStyle w:val="A1"/>
        <w:rPr/>
      </w:pPr>
      <w:r>
        <w:rPr/>
        <w:t>Проведение гидравлической промывки систем теплопотребления потребителей тепловой энергии на территории Камышловского городского округа позволит удалить шлаковые отложения в индивидуальных теплообменных аппаратах (радиаторах) потребителей, благодаря чему повысится коэффициент теплопередачи, а также улучшатся гидравлические режимы работы систем теплоснабжения ввиду снижения гидравлического сопротивления.</w:t>
      </w:r>
    </w:p>
    <w:p>
      <w:pPr>
        <w:pStyle w:val="A1"/>
        <w:rPr/>
      </w:pPr>
      <w:r>
        <w:rPr/>
        <w:t>Рекомендуется обеспечить гидравлическую промывку систем теплоснабжения всех многоквартирных домов и потребителей бюджетного сектора. Количество объектов: около 500 шт.</w:t>
      </w:r>
    </w:p>
    <w:p>
      <w:pPr>
        <w:pStyle w:val="A1"/>
        <w:rPr/>
      </w:pPr>
      <w:r>
        <w:rPr/>
        <w:t>Гидравлическую промывку необходимо осуществлять ежегодно с целью поддержания необходимых параметров функционирования систем теплоснабжения.</w:t>
      </w:r>
      <w:bookmarkStart w:id="185" w:name="_Hlk8034749"/>
      <w:bookmarkEnd w:id="185"/>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148"/>
        <w:rPr/>
      </w:pPr>
      <w:bookmarkStart w:id="186" w:name="_Toc50093581"/>
      <w:r>
        <w:rPr/>
        <w:t>Раздел 7. Предложения по переводу открытых систем теплоснабжения в закрытые системы</w:t>
      </w:r>
      <w:bookmarkEnd w:id="186"/>
    </w:p>
    <w:p>
      <w:pPr>
        <w:pStyle w:val="A1"/>
        <w:rPr/>
      </w:pPr>
      <w:r>
        <w:rPr/>
        <w:t>В соответствии с требованиями Федеральных Законов № 190-ФЗ и № 417-ФЗ подлежат переводу к 01.01.2022 г. на закрытую схему горячего водоснабжения, осуществляемого путем отбора теплоносителя, все системы теплоснабжения городского округа.</w:t>
      </w:r>
    </w:p>
    <w:p>
      <w:pPr>
        <w:pStyle w:val="A1"/>
        <w:rPr/>
      </w:pPr>
      <w:r>
        <w:rPr/>
        <w:t>Актуальность перевода открытых систем горячего водоснабжения на закрытые обусловлена тем, что:</w:t>
      </w:r>
    </w:p>
    <w:p>
      <w:pPr>
        <w:pStyle w:val="Style92"/>
        <w:numPr>
          <w:ilvl w:val="0"/>
          <w:numId w:val="1"/>
        </w:numPr>
        <w:spacing w:lineRule="auto" w:line="360"/>
        <w:ind w:left="0" w:firstLine="567"/>
        <w:rPr/>
      </w:pPr>
      <w:r>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для нужд ГВС приводит к перетопам в помещениях зданий;</w:t>
      </w:r>
    </w:p>
    <w:p>
      <w:pPr>
        <w:pStyle w:val="Style92"/>
        <w:numPr>
          <w:ilvl w:val="0"/>
          <w:numId w:val="1"/>
        </w:numPr>
        <w:spacing w:lineRule="auto" w:line="360"/>
        <w:ind w:left="0" w:firstLine="567"/>
        <w:rPr/>
      </w:pPr>
      <w:r>
        <w:rPr/>
        <w:t xml:space="preserve">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pPr>
        <w:pStyle w:val="A1"/>
        <w:rPr/>
      </w:pPr>
      <w:r>
        <w:rPr/>
        <w:t>Переход на закрытую схему присоединения систем ГВС позволит обеспечить:</w:t>
      </w:r>
    </w:p>
    <w:p>
      <w:pPr>
        <w:pStyle w:val="Style92"/>
        <w:numPr>
          <w:ilvl w:val="0"/>
          <w:numId w:val="1"/>
        </w:numPr>
        <w:spacing w:lineRule="auto" w:line="360"/>
        <w:ind w:left="0" w:firstLine="567"/>
        <w:rPr/>
      </w:pPr>
      <w:r>
        <w:rPr/>
        <w:t>снижение расхода тепла на отопление и ГВС за счет перевода на качественно количественное регулирование температуры теплоносителя в соответствии с температурным графиком;</w:t>
      </w:r>
    </w:p>
    <w:p>
      <w:pPr>
        <w:pStyle w:val="Style92"/>
        <w:numPr>
          <w:ilvl w:val="0"/>
          <w:numId w:val="1"/>
        </w:numPr>
        <w:spacing w:lineRule="auto" w:line="360"/>
        <w:ind w:left="0" w:firstLine="567"/>
        <w:rPr/>
      </w:pPr>
      <w:r>
        <w:rPr/>
        <w:t>снижение внутренней коррозии трубопроводов и отложения солей;</w:t>
      </w:r>
    </w:p>
    <w:p>
      <w:pPr>
        <w:pStyle w:val="Style92"/>
        <w:numPr>
          <w:ilvl w:val="0"/>
          <w:numId w:val="1"/>
        </w:numPr>
        <w:spacing w:lineRule="auto" w:line="360"/>
        <w:ind w:left="0" w:firstLine="567"/>
        <w:rPr/>
      </w:pPr>
      <w:r>
        <w:rPr/>
        <w:t>снижение темпов износа оборудования тепловых станций и котельных;</w:t>
      </w:r>
    </w:p>
    <w:p>
      <w:pPr>
        <w:pStyle w:val="Style92"/>
        <w:numPr>
          <w:ilvl w:val="0"/>
          <w:numId w:val="1"/>
        </w:numPr>
        <w:spacing w:lineRule="auto" w:line="360"/>
        <w:ind w:left="0" w:firstLine="567"/>
        <w:rPr/>
      </w:pPr>
      <w:r>
        <w:rPr/>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pPr>
        <w:pStyle w:val="Style92"/>
        <w:numPr>
          <w:ilvl w:val="0"/>
          <w:numId w:val="1"/>
        </w:numPr>
        <w:spacing w:lineRule="auto" w:line="360"/>
        <w:ind w:left="0" w:firstLine="567"/>
        <w:rPr/>
      </w:pPr>
      <w:r>
        <w:rPr/>
        <w:t>снижение объемов работ по химводоподготовке подпиточной воды и, соответственно, затрат;</w:t>
      </w:r>
    </w:p>
    <w:p>
      <w:pPr>
        <w:pStyle w:val="Style92"/>
        <w:numPr>
          <w:ilvl w:val="0"/>
          <w:numId w:val="1"/>
        </w:numPr>
        <w:spacing w:lineRule="auto" w:line="360"/>
        <w:ind w:left="0" w:firstLine="567"/>
        <w:rPr/>
      </w:pPr>
      <w:r>
        <w:rPr/>
        <w:t>снижение аварийности систем теплоснабжения.</w:t>
      </w:r>
    </w:p>
    <w:p>
      <w:pPr>
        <w:pStyle w:val="A1"/>
        <w:rPr/>
      </w:pPr>
      <w:r>
        <w:rPr/>
        <w:t>На территории Камышловского городского округа отсутствуют открытые системы теплоснабжения.</w:t>
      </w:r>
    </w:p>
    <w:p>
      <w:pPr>
        <w:pStyle w:val="Normal"/>
        <w:spacing w:lineRule="auto" w:line="276" w:before="120" w:after="200"/>
        <w:rPr/>
      </w:pPr>
      <w:r>
        <w:rPr/>
      </w:r>
    </w:p>
    <w:p>
      <w:pPr>
        <w:pStyle w:val="Normal"/>
        <w:spacing w:lineRule="auto" w:line="276" w:before="120" w:after="200"/>
        <w:rPr>
          <w:b/>
          <w:b/>
          <w:bCs/>
          <w:sz w:val="28"/>
          <w:szCs w:val="28"/>
        </w:rPr>
      </w:pPr>
      <w:r>
        <w:rPr>
          <w:b/>
          <w:bCs/>
          <w:sz w:val="28"/>
          <w:szCs w:val="28"/>
        </w:rPr>
      </w:r>
      <w:r>
        <w:br w:type="page"/>
      </w:r>
    </w:p>
    <w:p>
      <w:pPr>
        <w:pStyle w:val="148"/>
        <w:rPr/>
      </w:pPr>
      <w:bookmarkStart w:id="187" w:name="_Toc50093582"/>
      <w:r>
        <w:rPr/>
        <w:t>Раздел 8. Существующие и перспективные топливные балансы</w:t>
      </w:r>
      <w:bookmarkEnd w:id="187"/>
    </w:p>
    <w:p>
      <w:pPr>
        <w:pStyle w:val="A1"/>
        <w:rPr/>
      </w:pPr>
      <w:r>
        <w:rPr/>
        <w:t xml:space="preserve">Описание существующих топливных балансов приведено в части 8 главы 1 настоящего документа. Расчетные максимальные расходы основного вида топлива по источникам централизованного теплоснабжения Камышловского городского округа представлены в таблице </w:t>
      </w:r>
      <w:r>
        <w:rPr/>
        <w:fldChar w:fldCharType="begin"/>
      </w:r>
      <w:r>
        <w:rPr/>
        <w:instrText> REF _Ref43136682 \h </w:instrText>
      </w:r>
      <w:r>
        <w:rPr/>
        <w:fldChar w:fldCharType="separate"/>
      </w:r>
      <w:r>
        <w:rPr/>
        <w:t>Таблица 18</w:t>
      </w:r>
      <w:r>
        <w:rPr/>
        <w:fldChar w:fldCharType="end"/>
      </w:r>
      <w:r>
        <w:rPr/>
        <w:t>.</w:t>
      </w:r>
    </w:p>
    <w:p>
      <w:pPr>
        <w:pStyle w:val="229"/>
        <w:rPr/>
      </w:pPr>
      <w:bookmarkStart w:id="188" w:name="_Toc50093583"/>
      <w:bookmarkStart w:id="189" w:name="_Toc50087601"/>
      <w:bookmarkStart w:id="190" w:name="_Toc437278376"/>
      <w:r>
        <w:rPr/>
        <w:t>10.2 Расчеты по каждому источнику тепловой энергии нормативных запасов аварийных видов топлива</w:t>
      </w:r>
      <w:bookmarkEnd w:id="188"/>
      <w:bookmarkEnd w:id="189"/>
      <w:bookmarkEnd w:id="190"/>
    </w:p>
    <w:p>
      <w:pPr>
        <w:pStyle w:val="A1"/>
        <w:rPr/>
      </w:pPr>
      <w:r>
        <w:rPr/>
        <w:t>Согласно п. 4.1.1. Правил технической эксплуатации тепловых энергоустановок, утвержденных приказом Минэнерго России от 24 марта 2003 г.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Камышловского городского округа после проведения мероприятий по реконструкции определяется проектом (вид и количество).</w:t>
      </w:r>
    </w:p>
    <w:p>
      <w:pPr>
        <w:pStyle w:val="229"/>
        <w:rPr/>
      </w:pPr>
      <w:bookmarkStart w:id="191" w:name="_Toc50093584"/>
      <w:bookmarkStart w:id="192" w:name="_Toc50087602"/>
      <w: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91"/>
      <w:bookmarkEnd w:id="192"/>
    </w:p>
    <w:p>
      <w:pPr>
        <w:sectPr>
          <w:headerReference w:type="default" r:id="rId55"/>
          <w:footerReference w:type="default" r:id="rId56"/>
          <w:type w:val="nextPage"/>
          <w:pgSz w:w="11906" w:h="16838"/>
          <w:pgMar w:left="1134" w:right="567" w:header="1134" w:top="1693" w:footer="0" w:bottom="1134" w:gutter="0"/>
          <w:pgNumType w:fmt="decimal"/>
          <w:formProt w:val="false"/>
          <w:textDirection w:val="lrTb"/>
          <w:docGrid w:type="default" w:linePitch="360" w:charSpace="0"/>
        </w:sectPr>
        <w:pStyle w:val="A1"/>
        <w:rPr/>
      </w:pPr>
      <w:r>
        <w:rPr/>
        <w:t xml:space="preserve">На территории Камышловского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Камышловского городского округа представлена в таблице </w:t>
      </w:r>
      <w:r>
        <w:rPr/>
        <w:fldChar w:fldCharType="begin"/>
      </w:r>
      <w:r>
        <w:rPr/>
        <w:instrText> REF _Ref43136682 \h </w:instrText>
      </w:r>
      <w:r>
        <w:rPr/>
        <w:fldChar w:fldCharType="separate"/>
      </w:r>
      <w:r>
        <w:rPr/>
        <w:t>Таблица 18</w:t>
      </w:r>
      <w:r>
        <w:rPr/>
        <w:fldChar w:fldCharType="end"/>
      </w:r>
      <w:r>
        <w:rPr/>
        <w:t>.</w:t>
      </w:r>
    </w:p>
    <w:p>
      <w:pPr>
        <w:pStyle w:val="Style85"/>
        <w:ind w:right="-456" w:firstLine="567"/>
        <w:rPr/>
      </w:pPr>
      <w:bookmarkStart w:id="193" w:name="_Ref437274878"/>
      <w:bookmarkStart w:id="194" w:name="_Ref43136682"/>
      <w:bookmarkStart w:id="195" w:name="_Ref39409664"/>
      <w:r>
        <w:rPr/>
        <w:t xml:space="preserve">Таблица </w:t>
      </w:r>
      <w:r>
        <w:rPr/>
        <w:fldChar w:fldCharType="begin"/>
      </w:r>
      <w:r>
        <w:rPr/>
        <w:instrText> SEQ Таблица \* ARABIC </w:instrText>
      </w:r>
      <w:r>
        <w:rPr/>
        <w:fldChar w:fldCharType="separate"/>
      </w:r>
      <w:r>
        <w:rPr/>
        <w:t>18</w:t>
      </w:r>
      <w:r>
        <w:rPr/>
        <w:fldChar w:fldCharType="end"/>
      </w:r>
      <w:bookmarkEnd w:id="193"/>
      <w:bookmarkEnd w:id="194"/>
      <w:bookmarkEnd w:id="195"/>
      <w:r>
        <w:rPr/>
        <w:t xml:space="preserve">. Перспективный топливный баланс Камышловского городского округа </w:t>
      </w:r>
    </w:p>
    <w:tbl>
      <w:tblPr>
        <w:tblW w:w="5000" w:type="pct"/>
        <w:jc w:val="left"/>
        <w:tblInd w:w="-572" w:type="dxa"/>
        <w:tblCellMar>
          <w:top w:w="0" w:type="dxa"/>
          <w:left w:w="108" w:type="dxa"/>
          <w:bottom w:w="0" w:type="dxa"/>
          <w:right w:w="108" w:type="dxa"/>
        </w:tblCellMar>
        <w:tblLook w:firstRow="1" w:noVBand="1" w:lastRow="0" w:firstColumn="1" w:lastColumn="0" w:noHBand="0" w:val="04a0"/>
      </w:tblPr>
      <w:tblGrid>
        <w:gridCol w:w="524"/>
        <w:gridCol w:w="2888"/>
        <w:gridCol w:w="1710"/>
        <w:gridCol w:w="2229"/>
        <w:gridCol w:w="1032"/>
        <w:gridCol w:w="1031"/>
        <w:gridCol w:w="1034"/>
        <w:gridCol w:w="1033"/>
        <w:gridCol w:w="1033"/>
        <w:gridCol w:w="1031"/>
        <w:gridCol w:w="1023"/>
      </w:tblGrid>
      <w:tr>
        <w:trPr>
          <w:tblHeader w:val="true"/>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п/п</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Объект</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Вид основного топлива</w:t>
            </w:r>
          </w:p>
        </w:tc>
        <w:tc>
          <w:tcPr>
            <w:tcW w:w="222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Показатель</w:t>
            </w:r>
          </w:p>
        </w:tc>
        <w:tc>
          <w:tcPr>
            <w:tcW w:w="7217"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r>
      <w:tr>
        <w:trPr>
          <w:tblHeader w:val="true"/>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2021</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2022</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2025-2030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2031-2036</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«Пролетарская»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5847,8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6030,2</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5967,0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5903,9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«Железнодорожная»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3278,7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3426,4</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3391,0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3355,6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2095,8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2095,8</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2095,8</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«К.Либкнехта 28</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19,8</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«Стадион» / БМК «Стадион»</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755,6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1669,8</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1661,7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1653,5</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2348,2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2893,0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2893,0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«ЗСМ»</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3230,4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3195,5</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3306,6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3271,7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#ДЕЛ/0!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#ДЕЛ/0!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«Р. Люксембург»</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1021,2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1021,2</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1122,9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1122,9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1281,2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1281,2</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1281,2</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«Константиновка»</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886,7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886,7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886,7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886,7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2530,0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«КГТТ»</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1115,6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1115,6</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1115,6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1115,6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1435,5</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1130,3</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1130,3</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«ПЛ-16»</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277,2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277,2</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277,2</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277,2</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№1»</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916,6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916,6</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916,6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916,6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«ОВД»</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326,7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№7»</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200,9</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158,2</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124,3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124,3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124,3</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124,3</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«Школа №58»</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345,1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345,1</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345,1</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345,1</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«Орбита»</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273,4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273,4</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273,4</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273,4</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«Инженерный центр»</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1517,7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1754,3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1754,3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«Плодопитомник»</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1014,4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1014,4</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1014,4</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1014,4</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«Сельэнерго»</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125,9</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125,9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«Агроспецмонтаж»</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466,7</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367,4</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«ПДУ»</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499,9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499,9</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499,9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499,9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«Пригородный» / БМК «Пригородный»</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387,3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387,3</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387,3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304,9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304,9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304,9</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304,9</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«КЭЧ»</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Котельная «Виток» / БМК «Виток» </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170,6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170,6</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134,4</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105,6</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105,6</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105,6</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Котельная «Гор.баня»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617,7</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617,7</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485,3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485,3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485,3</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485,3</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Филиал № 2 ФГКУ "354 ВКГ" МО РФ</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1091,1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1091,1</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1091,1</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1091,1</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в/ч 75485</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569,3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569,3</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569,3</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1573,8</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2529,7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2529,7</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2529,7</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ОАО «РЖД»</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уголь</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206,9</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УИЗ</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1506,5</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ЛТЦ</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167,9</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8050,0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Горького 15</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3511,8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3717,2</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3717,2</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Загородная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5019,7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5019,7</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5019,7</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Боровая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5683,9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5683,9</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5683,9</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Западная часть</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564,8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564,8</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564,8</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котельная Свердлова 49</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171,9</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171,9</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r>
        <w:trPr>
          <w:trHeight w:val="20"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Новая БМК Восточная часть</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природный газ</w:t>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Расход топлива, т.у.т</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3315,3</w:t>
            </w:r>
          </w:p>
        </w:tc>
      </w:tr>
      <w:tr>
        <w:trPr>
          <w:trHeight w:val="20"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r>
          </w:p>
        </w:tc>
        <w:tc>
          <w:tcPr>
            <w:tcW w:w="222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 </w:t>
            </w:r>
            <w:r>
              <w:rPr/>
              <w:t>Теплотворная способность, ккал/кг</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5250,0</w:t>
            </w:r>
          </w:p>
        </w:tc>
      </w:tr>
    </w:tbl>
    <w:p>
      <w:pPr>
        <w:sectPr>
          <w:headerReference w:type="default" r:id="rId57"/>
          <w:footerReference w:type="default" r:id="rId58"/>
          <w:type w:val="nextPage"/>
          <w:pgSz w:orient="landscape" w:w="16838" w:h="11906"/>
          <w:pgMar w:left="1134" w:right="1134" w:header="1134" w:top="1693" w:footer="720" w:bottom="777" w:gutter="0"/>
          <w:pgNumType w:fmt="decimal"/>
          <w:formProt w:val="false"/>
          <w:textDirection w:val="lrTb"/>
          <w:docGrid w:type="default" w:linePitch="100" w:charSpace="0"/>
        </w:sectPr>
      </w:pPr>
    </w:p>
    <w:p>
      <w:pPr>
        <w:pStyle w:val="148"/>
        <w:rPr/>
      </w:pPr>
      <w:bookmarkStart w:id="196" w:name="_Toc50093585"/>
      <w:r>
        <w:rPr/>
        <w:t>Раздел 9. Инвестиции в строительство, реконструкцию и техническое перевооружение</w:t>
      </w:r>
      <w:bookmarkEnd w:id="196"/>
    </w:p>
    <w:p>
      <w:pPr>
        <w:pStyle w:val="A1"/>
        <w:rPr/>
      </w:pPr>
      <w:bookmarkStart w:id="197" w:name="_Toc437278382"/>
      <w:bookmarkEnd w:id="197"/>
      <w:r>
        <w:rPr/>
        <w:t xml:space="preserve">Итоговая таблица мероприятий по реконструкции и модернизации систем теплоснабжения Камышловского городского округа представлена в таблице </w:t>
      </w:r>
      <w:r>
        <w:rPr/>
        <w:fldChar w:fldCharType="begin"/>
      </w:r>
      <w:r>
        <w:rPr/>
        <w:instrText> REF _Ref532375951 \h </w:instrText>
      </w:r>
      <w:r>
        <w:rPr/>
        <w:fldChar w:fldCharType="separate"/>
      </w:r>
      <w:r>
        <w:rPr/>
        <w:t>Таблица 24</w:t>
      </w:r>
      <w:r>
        <w:rPr/>
        <w:fldChar w:fldCharType="end"/>
      </w:r>
      <w:r>
        <w:rPr/>
        <w:t>.</w:t>
      </w:r>
    </w:p>
    <w:p>
      <w:pPr>
        <w:pStyle w:val="A1"/>
        <w:rPr/>
      </w:pPr>
      <w:r>
        <w:rPr/>
        <w:t xml:space="preserve">Общий объем инвестиций в проекты развития системы централизованного теплоснабжения Камышловского городского округа при оптимистичном прогнозе развития в период 2020-2036 гг. составит </w:t>
      </w:r>
      <w:r>
        <w:rPr>
          <w:color w:val="000000"/>
        </w:rPr>
        <w:t xml:space="preserve">1238728,5 </w:t>
      </w:r>
      <w:r>
        <w:rPr/>
        <w:t xml:space="preserve">тыс. руб. в ценах 2020 г. Основной объем затрат будет приходиться на периоды 2025-2036 гг. </w:t>
      </w:r>
    </w:p>
    <w:p>
      <w:pPr>
        <w:pStyle w:val="A1"/>
        <w:rPr/>
      </w:pPr>
      <w:bookmarkStart w:id="198" w:name="_Hlk43288293"/>
      <w:r>
        <w:rPr/>
        <w:t>Для расчета цен на строительство объектов системы теплоснабжения</w:t>
      </w:r>
      <w:bookmarkStart w:id="199" w:name="_Hlk43288274"/>
      <w:r>
        <w:rPr/>
        <w:t xml:space="preserve"> </w:t>
      </w:r>
      <w:bookmarkEnd w:id="198"/>
      <w:r>
        <w:rPr/>
        <w:t>использовались нормативы сметной стоимости НЦС 81-02-19-2020 Сборник №13 «Наружные тепловые сети», НЦС 81-02-19-2020 Сборник №19 «Здания и сооружения городской инфраструктуры». Удельные цены, принятые для расчета представлены</w:t>
      </w:r>
      <w:bookmarkEnd w:id="199"/>
      <w:r>
        <w:rPr/>
        <w:t xml:space="preserve"> в таблицах </w:t>
      </w:r>
      <w:r>
        <w:rPr/>
        <w:fldChar w:fldCharType="begin"/>
      </w:r>
      <w:r>
        <w:rPr/>
        <w:instrText> REF _Ref43113332 \h </w:instrText>
      </w:r>
      <w:r>
        <w:rPr/>
        <w:fldChar w:fldCharType="separate"/>
      </w:r>
      <w:r>
        <w:rPr/>
        <w:t>Таблица 19</w:t>
      </w:r>
      <w:r>
        <w:rPr/>
        <w:fldChar w:fldCharType="end"/>
      </w:r>
      <w:r>
        <w:rPr/>
        <w:t>-</w:t>
      </w:r>
      <w:r>
        <w:rPr/>
        <w:fldChar w:fldCharType="begin"/>
      </w:r>
      <w:r>
        <w:rPr/>
        <w:instrText> REF _Ref42268735 \h </w:instrText>
      </w:r>
      <w:r>
        <w:rPr/>
        <w:fldChar w:fldCharType="separate"/>
      </w:r>
      <w:r>
        <w:rPr/>
        <w:t>Таблица 23</w:t>
      </w:r>
      <w:r>
        <w:rPr/>
        <w:fldChar w:fldCharType="end"/>
      </w:r>
      <w:r>
        <w:rPr/>
        <w:t xml:space="preserve">. </w:t>
      </w:r>
      <w:bookmarkStart w:id="200" w:name="_Hlk43288350"/>
      <w:r>
        <w:rPr/>
        <w:t>Коэффициент перехода от цен базового района (Московская область) к уровню цен субъектов Российской Федерации (Свердловская область) составляет 0,95.</w:t>
      </w:r>
      <w:bookmarkEnd w:id="200"/>
      <w:r>
        <w:rPr/>
        <w:t xml:space="preserve"> Также был проведен анализ стоимости аналогичных объектов на официальных сайтах производителей энергетического оборудования посредством сети Интернет.</w:t>
      </w:r>
    </w:p>
    <w:p>
      <w:pPr>
        <w:pStyle w:val="Style85"/>
        <w:rPr/>
      </w:pPr>
      <w:bookmarkStart w:id="201" w:name="_Ref43113332"/>
      <w:r>
        <w:rPr/>
        <w:t xml:space="preserve">Таблица </w:t>
      </w:r>
      <w:r>
        <w:rPr/>
        <w:fldChar w:fldCharType="begin"/>
      </w:r>
      <w:r>
        <w:rPr/>
        <w:instrText> SEQ Таблица \* ARABIC </w:instrText>
      </w:r>
      <w:r>
        <w:rPr/>
        <w:fldChar w:fldCharType="separate"/>
      </w:r>
      <w:r>
        <w:rPr/>
        <w:t>19</w:t>
      </w:r>
      <w:r>
        <w:rPr/>
        <w:fldChar w:fldCharType="end"/>
      </w:r>
      <w:bookmarkEnd w:id="201"/>
      <w:r>
        <w:rPr/>
        <w:t>. Цена на строительство котельных</w:t>
      </w:r>
    </w:p>
    <w:tbl>
      <w:tblPr>
        <w:tblW w:w="10199" w:type="dxa"/>
        <w:jc w:val="left"/>
        <w:tblInd w:w="0" w:type="dxa"/>
        <w:tblCellMar>
          <w:top w:w="0" w:type="dxa"/>
          <w:left w:w="74" w:type="dxa"/>
          <w:bottom w:w="0" w:type="dxa"/>
          <w:right w:w="74" w:type="dxa"/>
        </w:tblCellMar>
        <w:tblLook w:firstRow="1" w:noVBand="1" w:lastRow="0" w:firstColumn="1" w:lastColumn="0" w:noHBand="0" w:val="04a0"/>
      </w:tblPr>
      <w:tblGrid>
        <w:gridCol w:w="2092"/>
        <w:gridCol w:w="5977"/>
        <w:gridCol w:w="2130"/>
      </w:tblGrid>
      <w:tr>
        <w:trPr>
          <w:tblHeader w:val="true"/>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sz w:val="20"/>
                <w:szCs w:val="20"/>
                <w:lang w:val="ru-RU"/>
              </w:rPr>
              <w:t>Измеритель:</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sz w:val="20"/>
                <w:szCs w:val="20"/>
                <w:lang w:val="ru-RU"/>
              </w:rPr>
              <w:t>1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sz w:val="20"/>
                <w:szCs w:val="20"/>
                <w:lang w:val="ru-RU"/>
              </w:rPr>
              <w:t>тыс.руб.</w:t>
            </w:r>
          </w:p>
        </w:tc>
      </w:tr>
      <w:tr>
        <w:trPr/>
        <w:tc>
          <w:tcPr>
            <w:tcW w:w="10199"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sz w:val="20"/>
                <w:szCs w:val="20"/>
                <w:lang w:val="ru-RU"/>
              </w:rPr>
              <w:t>Котельные блочно-модульные на газообразном топливе, теплопроизводительностью:</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19-02-001-01</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1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9 583,93</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19-02-001-02</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5 727,42</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19-02-001-03</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8,16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5 694,12</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19-02-001-04</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12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4 535,73</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19-02-001-05</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20,8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4 148,25</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19-02-001-06</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35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lang w:val="ru-RU"/>
              </w:rPr>
              <w:t>3 886,87</w:t>
            </w:r>
          </w:p>
        </w:tc>
      </w:tr>
      <w:tr>
        <w:trPr/>
        <w:tc>
          <w:tcPr>
            <w:tcW w:w="10199"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sz w:val="20"/>
                <w:szCs w:val="20"/>
                <w:lang w:val="ru-RU"/>
              </w:rPr>
              <w:t>Отдельно стоящие котельные на газообразном топливе, теплопроизводительностью:</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19-02-001-07</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10 414,89</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19-02-001-08</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10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5 909,76</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19-02-001-09</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15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4 627,65</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19-02-001-10</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20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3 996,20</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19-02-001-11</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34,89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2 585,63</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19-02-001-12</w:t>
            </w:r>
          </w:p>
        </w:tc>
        <w:tc>
          <w:tcPr>
            <w:tcW w:w="5977"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6"/>
                <w:sz w:val="20"/>
                <w:szCs w:val="20"/>
              </w:rPr>
              <w:t>46,52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20"/>
              <w:spacing w:lineRule="auto" w:line="276"/>
              <w:rPr>
                <w:sz w:val="20"/>
                <w:szCs w:val="20"/>
                <w:lang w:val="ru-RU"/>
              </w:rPr>
            </w:pPr>
            <w:r>
              <w:rPr>
                <w:rStyle w:val="Headera5"/>
                <w:sz w:val="20"/>
                <w:szCs w:val="20"/>
              </w:rPr>
              <w:t>2 534,93</w:t>
            </w:r>
          </w:p>
        </w:tc>
      </w:tr>
    </w:tbl>
    <w:p>
      <w:pPr>
        <w:pStyle w:val="Style85"/>
        <w:rPr/>
      </w:pPr>
      <w:r>
        <w:rPr/>
      </w:r>
    </w:p>
    <w:p>
      <w:pPr>
        <w:pStyle w:val="Normal"/>
        <w:spacing w:lineRule="auto" w:line="276" w:before="120" w:after="200"/>
        <w:rPr>
          <w:rFonts w:eastAsia="Microsoft YaHei"/>
          <w:bCs/>
          <w:i/>
          <w:i/>
          <w:spacing w:val="-5"/>
          <w:lang w:eastAsia="en-US"/>
        </w:rPr>
      </w:pPr>
      <w:r>
        <w:rPr>
          <w:rFonts w:eastAsia="Microsoft YaHei"/>
          <w:bCs/>
          <w:i/>
          <w:spacing w:val="-5"/>
          <w:lang w:eastAsia="en-US"/>
        </w:rPr>
      </w:r>
      <w:r>
        <w:br w:type="page"/>
      </w:r>
    </w:p>
    <w:p>
      <w:pPr>
        <w:pStyle w:val="Style85"/>
        <w:rPr/>
      </w:pPr>
      <w:r>
        <w:rPr/>
        <w:t xml:space="preserve">Таблица </w:t>
      </w:r>
      <w:r>
        <w:rPr/>
        <w:fldChar w:fldCharType="begin"/>
      </w:r>
      <w:r>
        <w:rPr/>
        <w:instrText> SEQ Таблица \* ARABIC </w:instrText>
      </w:r>
      <w:r>
        <w:rPr/>
        <w:fldChar w:fldCharType="separate"/>
      </w:r>
      <w:r>
        <w:rPr/>
        <w:t>20</w:t>
      </w:r>
      <w:r>
        <w:rPr/>
        <w:fldChar w:fldCharType="end"/>
      </w:r>
      <w:r>
        <w:rPr/>
        <w:t>. Цена на строительство тепловых сетей (бесканальная)</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2119"/>
        <w:gridCol w:w="5944"/>
        <w:gridCol w:w="2130"/>
      </w:tblGrid>
      <w:tr>
        <w:trPr>
          <w:tblHeader w:val="true"/>
        </w:trPr>
        <w:tc>
          <w:tcPr>
            <w:tcW w:w="806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jc w:val="both"/>
              <w:rPr>
                <w:sz w:val="20"/>
                <w:szCs w:val="20"/>
                <w:lang w:val="ru-RU"/>
              </w:rPr>
            </w:pPr>
            <w:r>
              <w:rPr>
                <w:sz w:val="20"/>
                <w:szCs w:val="20"/>
                <w:lang w:val="ru-RU"/>
              </w:rPr>
              <w:t>Бесканальная прокладка трубопроводов теплоснабжения в армопенобетонной изоляции при условном давлении 1,6 МПа, температуре 150°С, в сухих грунтах в траншеях с откосами с погрузкой и вывозом грунта автотранспортом, диаметр труб:</w:t>
            </w:r>
          </w:p>
        </w:tc>
        <w:tc>
          <w:tcPr>
            <w:tcW w:w="2130"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rPr>
                <w:sz w:val="20"/>
                <w:szCs w:val="20"/>
                <w:lang w:val="ru-RU"/>
              </w:rPr>
            </w:pPr>
            <w:r>
              <w:rPr>
                <w:sz w:val="20"/>
                <w:szCs w:val="20"/>
                <w:lang w:val="ru-RU"/>
              </w:rPr>
              <w:t>тыс. руб.</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13-03-001-01</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80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10 276,77</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13-03-001-02</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11 415,62</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13-03-001-03</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125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12 775,22</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13-03-001-04</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15 424,99</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13-03-001-05</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200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18 203,37</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13-03-001-06</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250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22 375,49</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13-03-001-07</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300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24 924,54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13-03-001-08</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400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33 849,04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13-03-001-09</w:t>
            </w:r>
          </w:p>
        </w:tc>
        <w:tc>
          <w:tcPr>
            <w:tcW w:w="5944"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500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46 641,89</w:t>
            </w:r>
          </w:p>
        </w:tc>
      </w:tr>
    </w:tbl>
    <w:p>
      <w:pPr>
        <w:pStyle w:val="Style85"/>
        <w:rPr/>
      </w:pPr>
      <w:r>
        <w:rPr/>
        <w:t xml:space="preserve">Таблица </w:t>
      </w:r>
      <w:r>
        <w:rPr/>
        <w:fldChar w:fldCharType="begin"/>
      </w:r>
      <w:r>
        <w:rPr/>
        <w:instrText> SEQ Таблица \* ARABIC </w:instrText>
      </w:r>
      <w:r>
        <w:rPr/>
        <w:fldChar w:fldCharType="separate"/>
      </w:r>
      <w:r>
        <w:rPr/>
        <w:t>21</w:t>
      </w:r>
      <w:r>
        <w:rPr/>
        <w:fldChar w:fldCharType="end"/>
      </w:r>
      <w:r>
        <w:rPr/>
        <w:t>. Цена на строительство тепловых сетей (надземная)</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1878"/>
        <w:gridCol w:w="6185"/>
        <w:gridCol w:w="2130"/>
      </w:tblGrid>
      <w:tr>
        <w:trPr>
          <w:tblHeader w:val="true"/>
        </w:trPr>
        <w:tc>
          <w:tcPr>
            <w:tcW w:w="806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jc w:val="both"/>
              <w:rPr>
                <w:sz w:val="20"/>
                <w:szCs w:val="20"/>
                <w:lang w:val="ru-RU"/>
              </w:rPr>
            </w:pPr>
            <w:r>
              <w:rPr>
                <w:sz w:val="20"/>
                <w:szCs w:val="20"/>
                <w:lang w:val="ru-RU"/>
              </w:rPr>
              <w:t>Надземная прокладка трубопроводов теплоснабжения в изоляции из пенополиуретана (ППУ) при условном давлении 1,6 МПа, температуре 150</w:t>
            </w:r>
            <w:bookmarkStart w:id="202" w:name="_Hlk43113206"/>
            <w:r>
              <w:rPr>
                <w:sz w:val="20"/>
                <w:szCs w:val="20"/>
                <w:lang w:val="ru-RU"/>
              </w:rPr>
              <w:t xml:space="preserve">°С </w:t>
            </w:r>
            <w:bookmarkEnd w:id="202"/>
            <w:r>
              <w:rPr>
                <w:sz w:val="20"/>
                <w:szCs w:val="20"/>
                <w:lang w:val="ru-RU"/>
              </w:rPr>
              <w:t>на низких опорах</w:t>
            </w:r>
          </w:p>
        </w:tc>
        <w:tc>
          <w:tcPr>
            <w:tcW w:w="2130"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rPr>
                <w:sz w:val="20"/>
                <w:szCs w:val="20"/>
                <w:lang w:val="ru-RU"/>
              </w:rPr>
            </w:pPr>
            <w:r>
              <w:rPr>
                <w:sz w:val="20"/>
                <w:szCs w:val="20"/>
                <w:lang w:val="ru-RU"/>
              </w:rPr>
              <w:t>тыс. руб.</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13-06-002-01</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80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11 611,40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13-06-002-02</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100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12 528,09</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13-06-002-03</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125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13 252,23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13-06-002-04</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150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14 048,50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13-06-002-05</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200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17 233,23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13-06-002-06</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250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22 577,05</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13-06-002-07</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color w:val="333333"/>
                <w:sz w:val="20"/>
                <w:szCs w:val="20"/>
              </w:rPr>
              <w:t>300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color w:val="333333"/>
                <w:sz w:val="20"/>
                <w:szCs w:val="20"/>
              </w:rPr>
              <w:t>24 066,64 </w:t>
            </w:r>
          </w:p>
        </w:tc>
      </w:tr>
    </w:tbl>
    <w:p>
      <w:pPr>
        <w:pStyle w:val="Style85"/>
        <w:rPr/>
      </w:pPr>
      <w:bookmarkStart w:id="203" w:name="_Ref42268870"/>
      <w:r>
        <w:rPr/>
        <w:t xml:space="preserve">Таблица </w:t>
      </w:r>
      <w:r>
        <w:rPr/>
        <w:fldChar w:fldCharType="begin"/>
      </w:r>
      <w:r>
        <w:rPr/>
        <w:instrText> SEQ Таблица \* ARABIC </w:instrText>
      </w:r>
      <w:r>
        <w:rPr/>
        <w:fldChar w:fldCharType="separate"/>
      </w:r>
      <w:r>
        <w:rPr/>
        <w:t>22</w:t>
      </w:r>
      <w:r>
        <w:rPr/>
        <w:fldChar w:fldCharType="end"/>
      </w:r>
      <w:bookmarkEnd w:id="203"/>
      <w:r>
        <w:rPr/>
        <w:t>. Цена на строительство тепловых сетей (бесканальная, ППУ)</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1878"/>
        <w:gridCol w:w="6185"/>
        <w:gridCol w:w="2130"/>
      </w:tblGrid>
      <w:tr>
        <w:trPr>
          <w:tblHeader w:val="true"/>
        </w:trPr>
        <w:tc>
          <w:tcPr>
            <w:tcW w:w="806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jc w:val="both"/>
              <w:rPr>
                <w:sz w:val="20"/>
                <w:szCs w:val="20"/>
                <w:lang w:val="ru-RU"/>
              </w:rPr>
            </w:pPr>
            <w:r>
              <w:rPr>
                <w:sz w:val="20"/>
                <w:szCs w:val="20"/>
                <w:lang w:val="ru-RU"/>
              </w:rPr>
              <w:t>Бесканальная прокладка трубопроводов теплоснабжения в изоляции из пенополиуретана (ППУ) на глубине 2 м, при условном давлении 1,6 Мпа, температуре 150°С, на железобетонном основании по песчаной подготовке, в сухих грунтах в траншеях с откосами без креплений с погрузкой и вывозом грунта автотранспортом, диаметр труб:</w:t>
            </w:r>
          </w:p>
        </w:tc>
        <w:tc>
          <w:tcPr>
            <w:tcW w:w="2130"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20"/>
              <w:spacing w:lineRule="auto" w:line="276"/>
              <w:rPr>
                <w:sz w:val="20"/>
                <w:szCs w:val="20"/>
                <w:lang w:val="ru-RU"/>
              </w:rPr>
            </w:pPr>
            <w:r>
              <w:rPr>
                <w:sz w:val="20"/>
                <w:szCs w:val="20"/>
                <w:lang w:val="ru-RU"/>
              </w:rPr>
              <w:t>тыс. руб.</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13-07-005-01</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843,43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13-07-005-02</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70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931,70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13-07-005-03</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80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990,68</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13-07-005-04</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1 101,72</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13-07-005-05</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125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1 347,95</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13-07-005-06</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150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1 398,58</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13-07-005-07</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200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2 106,52</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13-07-005-08</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250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2 906,90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13-07-005-09</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6"/>
                <w:sz w:val="20"/>
                <w:szCs w:val="20"/>
              </w:rPr>
              <w:t>300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sz w:val="20"/>
                <w:szCs w:val="20"/>
                <w:lang w:val="ru-RU"/>
              </w:rPr>
            </w:pPr>
            <w:r>
              <w:rPr>
                <w:rStyle w:val="Headera5"/>
                <w:sz w:val="20"/>
                <w:szCs w:val="20"/>
              </w:rPr>
              <w:t>3 160,03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13-07-005-10</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6"/>
                <w:sz w:val="20"/>
                <w:szCs w:val="20"/>
              </w:rPr>
            </w:pPr>
            <w:r>
              <w:rPr>
                <w:rStyle w:val="Headera6"/>
                <w:sz w:val="20"/>
                <w:szCs w:val="20"/>
              </w:rPr>
              <w:t>400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4 349,23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13-07-005-11</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6"/>
                <w:sz w:val="20"/>
                <w:szCs w:val="20"/>
              </w:rPr>
            </w:pPr>
            <w:r>
              <w:rPr>
                <w:rStyle w:val="Headera6"/>
                <w:sz w:val="20"/>
                <w:szCs w:val="20"/>
              </w:rPr>
              <w:t>500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6 798,73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13-07-005-12</w:t>
            </w:r>
          </w:p>
        </w:tc>
        <w:tc>
          <w:tcPr>
            <w:tcW w:w="6185"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6"/>
                <w:sz w:val="20"/>
                <w:szCs w:val="20"/>
              </w:rPr>
            </w:pPr>
            <w:r>
              <w:rPr>
                <w:rStyle w:val="Headera6"/>
                <w:sz w:val="20"/>
                <w:szCs w:val="20"/>
              </w:rPr>
              <w:t>600 мм</w:t>
            </w:r>
          </w:p>
        </w:tc>
        <w:tc>
          <w:tcPr>
            <w:tcW w:w="2130" w:type="dxa"/>
            <w:tcBorders>
              <w:top w:val="single" w:sz="6" w:space="0" w:color="000000"/>
              <w:left w:val="single" w:sz="6" w:space="0" w:color="000000"/>
              <w:bottom w:val="single" w:sz="6" w:space="0" w:color="000000"/>
              <w:right w:val="single" w:sz="6" w:space="0" w:color="000000"/>
            </w:tcBorders>
            <w:shd w:fill="auto" w:val="clear"/>
          </w:tcPr>
          <w:p>
            <w:pPr>
              <w:pStyle w:val="Style120"/>
              <w:spacing w:lineRule="auto" w:line="276"/>
              <w:rPr>
                <w:rStyle w:val="Headera5"/>
                <w:sz w:val="20"/>
                <w:szCs w:val="20"/>
              </w:rPr>
            </w:pPr>
            <w:r>
              <w:rPr>
                <w:rStyle w:val="Headera5"/>
                <w:sz w:val="20"/>
                <w:szCs w:val="20"/>
              </w:rPr>
              <w:t>7 422,06</w:t>
            </w:r>
          </w:p>
        </w:tc>
      </w:tr>
    </w:tbl>
    <w:p>
      <w:pPr>
        <w:pStyle w:val="A1"/>
        <w:spacing w:before="240" w:after="0"/>
        <w:contextualSpacing/>
        <w:rPr>
          <w:highlight w:val="white"/>
        </w:rPr>
      </w:pPr>
      <w:r>
        <w:rPr>
          <w:rStyle w:val="Headera5"/>
        </w:rPr>
        <w:t xml:space="preserve">Стоимость проектных и изыскательских работ, включая экспертизу проектной документации к таблице 13-03-001 приведена в таблице </w:t>
      </w:r>
      <w:r>
        <w:rPr>
          <w:shd w:fill="FBFBFB" w:val="clear"/>
        </w:rPr>
        <w:fldChar w:fldCharType="begin"/>
      </w:r>
      <w:r>
        <w:rPr>
          <w:shd w:fill="FBFBFB" w:val="clear"/>
        </w:rPr>
        <w:instrText> REF _Ref42268735 \h </w:instrText>
      </w:r>
      <w:r>
        <w:rPr>
          <w:shd w:fill="FBFBFB" w:val="clear"/>
        </w:rPr>
        <w:fldChar w:fldCharType="separate"/>
      </w:r>
      <w:r>
        <w:rPr>
          <w:shd w:fill="FBFBFB" w:val="clear"/>
        </w:rPr>
        <w:t>Таблица 23</w:t>
      </w:r>
      <w:r>
        <w:rPr>
          <w:shd w:fill="FBFBFB" w:val="clear"/>
        </w:rPr>
        <w:fldChar w:fldCharType="end"/>
      </w:r>
      <w:r>
        <w:rPr>
          <w:shd w:fill="FBFBFB" w:val="clear"/>
        </w:rPr>
        <w:t>.</w:t>
      </w:r>
    </w:p>
    <w:p>
      <w:pPr>
        <w:pStyle w:val="Style85"/>
        <w:rPr/>
      </w:pPr>
      <w:bookmarkStart w:id="204" w:name="_Ref42268735"/>
      <w:r>
        <w:rPr/>
        <w:t xml:space="preserve">Таблица </w:t>
      </w:r>
      <w:r>
        <w:rPr/>
        <w:fldChar w:fldCharType="begin"/>
      </w:r>
      <w:r>
        <w:rPr/>
        <w:instrText> SEQ Таблица \* ARABIC </w:instrText>
      </w:r>
      <w:r>
        <w:rPr/>
        <w:fldChar w:fldCharType="separate"/>
      </w:r>
      <w:r>
        <w:rPr/>
        <w:t>23</w:t>
      </w:r>
      <w:r>
        <w:rPr/>
        <w:fldChar w:fldCharType="end"/>
      </w:r>
      <w:bookmarkEnd w:id="204"/>
      <w:r>
        <w:rPr/>
        <w:t>. Стоимость проектных и изыскательских работ</w:t>
      </w:r>
    </w:p>
    <w:tbl>
      <w:tblPr>
        <w:tblW w:w="10199" w:type="dxa"/>
        <w:jc w:val="left"/>
        <w:tblInd w:w="0" w:type="dxa"/>
        <w:tblCellMar>
          <w:top w:w="75" w:type="dxa"/>
          <w:left w:w="75" w:type="dxa"/>
          <w:bottom w:w="75" w:type="dxa"/>
          <w:right w:w="75" w:type="dxa"/>
        </w:tblCellMar>
        <w:tblLook w:firstRow="1" w:noVBand="1" w:lastRow="0" w:firstColumn="1" w:lastColumn="0" w:noHBand="0" w:val="04a0"/>
      </w:tblPr>
      <w:tblGrid>
        <w:gridCol w:w="1912"/>
        <w:gridCol w:w="3894"/>
        <w:gridCol w:w="4393"/>
      </w:tblGrid>
      <w:tr>
        <w:trPr>
          <w:tblHeader w:val="true"/>
          <w:trHeight w:val="20" w:hRule="atLeast"/>
        </w:trPr>
        <w:tc>
          <w:tcPr>
            <w:tcW w:w="19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20"/>
              <w:spacing w:lineRule="auto" w:line="276"/>
              <w:rPr>
                <w:sz w:val="20"/>
                <w:szCs w:val="20"/>
                <w:lang w:val="ru-RU"/>
              </w:rPr>
            </w:pPr>
            <w:r>
              <w:rPr>
                <w:rStyle w:val="Headera5"/>
                <w:sz w:val="20"/>
                <w:szCs w:val="20"/>
              </w:rPr>
              <w:t>Код показателя</w:t>
            </w:r>
          </w:p>
        </w:tc>
        <w:tc>
          <w:tcPr>
            <w:tcW w:w="828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jc w:val="center"/>
              <w:rPr>
                <w:rStyle w:val="Headera5"/>
                <w:rFonts w:eastAsia="" w:eastAsiaTheme="majorEastAsia"/>
                <w:sz w:val="20"/>
                <w:szCs w:val="20"/>
                <w:lang w:eastAsia="en-US"/>
              </w:rPr>
            </w:pPr>
            <w:r>
              <w:rPr>
                <w:rStyle w:val="Headera5"/>
                <w:rFonts w:eastAsia="Calibri" w:eastAsiaTheme="minorHAnsi"/>
                <w:spacing w:val="-1"/>
                <w:sz w:val="20"/>
                <w:szCs w:val="20"/>
                <w:lang w:val="en-US" w:eastAsia="en-US"/>
              </w:rPr>
              <w:t>Стоимость на 01.01.2020, тыс. руб.</w:t>
            </w:r>
          </w:p>
        </w:tc>
      </w:tr>
      <w:tr>
        <w:trPr>
          <w:tblHeader w:val="true"/>
          <w:trHeight w:val="851" w:hRule="atLeast"/>
        </w:trPr>
        <w:tc>
          <w:tcPr>
            <w:tcW w:w="1912" w:type="dxa"/>
            <w:vMerge w:val="continue"/>
            <w:tcBorders>
              <w:top w:val="single" w:sz="4" w:space="0" w:color="000000"/>
              <w:left w:val="single" w:sz="4" w:space="0" w:color="000000"/>
              <w:bottom w:val="single" w:sz="4" w:space="0" w:color="000000"/>
              <w:right w:val="single" w:sz="4" w:space="0" w:color="000000"/>
            </w:tcBorders>
            <w:shd w:fill="auto" w:val="clear"/>
            <w:tcMar>
              <w:top w:w="0" w:type="dxa"/>
              <w:left w:w="108" w:type="dxa"/>
              <w:bottom w:w="0" w:type="dxa"/>
              <w:right w:w="108" w:type="dxa"/>
            </w:tcMar>
            <w:vAlign w:val="center"/>
          </w:tcPr>
          <w:p>
            <w:pPr>
              <w:pStyle w:val="Normal"/>
              <w:spacing w:lineRule="auto" w:line="276"/>
              <w:rPr>
                <w:rFonts w:eastAsia="Calibri" w:eastAsiaTheme="minorHAnsi"/>
                <w:spacing w:val="-1"/>
                <w:sz w:val="20"/>
                <w:szCs w:val="20"/>
                <w:lang w:eastAsia="en-US"/>
              </w:rPr>
            </w:pPr>
            <w:r>
              <w:rPr>
                <w:rFonts w:eastAsia="Calibri" w:eastAsiaTheme="minorHAnsi"/>
                <w:spacing w:val="-1"/>
                <w:sz w:val="20"/>
                <w:szCs w:val="20"/>
                <w:lang w:eastAsia="en-US"/>
              </w:rPr>
            </w:r>
          </w:p>
        </w:tc>
        <w:tc>
          <w:tcPr>
            <w:tcW w:w="3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76"/>
              <w:jc w:val="center"/>
              <w:rPr>
                <w:rFonts w:eastAsia="Calibri" w:eastAsiaTheme="minorHAnsi"/>
                <w:spacing w:val="-1"/>
                <w:sz w:val="20"/>
                <w:szCs w:val="20"/>
              </w:rPr>
            </w:pPr>
            <w:r>
              <w:rPr>
                <w:rStyle w:val="Headera5"/>
                <w:rFonts w:eastAsia="" w:eastAsiaTheme="majorEastAsia"/>
                <w:sz w:val="20"/>
                <w:szCs w:val="20"/>
                <w:lang w:eastAsia="en-US"/>
              </w:rPr>
              <w:t>строительства всего (на принятую единицу измерения)</w:t>
            </w:r>
          </w:p>
        </w:tc>
        <w:tc>
          <w:tcPr>
            <w:tcW w:w="4393" w:type="dxa"/>
            <w:tcBorders>
              <w:top w:val="single" w:sz="4" w:space="0" w:color="000000"/>
              <w:left w:val="single" w:sz="4" w:space="0" w:color="000000"/>
              <w:bottom w:val="single" w:sz="4" w:space="0" w:color="000000"/>
              <w:right w:val="single" w:sz="4" w:space="0" w:color="000000"/>
            </w:tcBorders>
            <w:shd w:fill="auto" w:val="clear"/>
            <w:tcMar>
              <w:top w:w="0" w:type="dxa"/>
              <w:left w:w="15" w:type="dxa"/>
              <w:bottom w:w="0" w:type="dxa"/>
              <w:right w:w="15" w:type="dxa"/>
            </w:tcMar>
            <w:vAlign w:val="center"/>
          </w:tcPr>
          <w:p>
            <w:pPr>
              <w:pStyle w:val="Normal"/>
              <w:spacing w:lineRule="auto" w:line="276"/>
              <w:jc w:val="center"/>
              <w:rPr>
                <w:rFonts w:eastAsia="Calibri" w:eastAsiaTheme="minorHAnsi"/>
                <w:spacing w:val="-1"/>
                <w:sz w:val="20"/>
                <w:szCs w:val="20"/>
                <w:lang w:eastAsia="en-US"/>
              </w:rPr>
            </w:pPr>
            <w:r>
              <w:rPr>
                <w:rStyle w:val="Headera5"/>
                <w:rFonts w:eastAsia="" w:eastAsiaTheme="majorEastAsia"/>
                <w:sz w:val="20"/>
                <w:szCs w:val="20"/>
                <w:lang w:eastAsia="en-US"/>
              </w:rPr>
              <w:t>в том числе проектных и изыскательских работ, включая экспертизу проектной документации</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13-03-001-01</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10 276,77</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548,74</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13-03-001-02</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11 415,62</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609,55</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13-03-001-03</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12 775,22</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682,15</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13-03-001-04</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15 424,99</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823,64</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13-03-001-05</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18 203,37</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971,99</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13-03-001-06</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22 375,49</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1 194,77</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13-03-001-07</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24 924,54</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1 330,88</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13-03-001-08</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33 849,04</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1 807,41</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13-03-001-09</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46 641,89</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20"/>
              <w:spacing w:lineRule="auto" w:line="276"/>
              <w:rPr>
                <w:sz w:val="20"/>
                <w:szCs w:val="20"/>
                <w:lang w:val="ru-RU"/>
              </w:rPr>
            </w:pPr>
            <w:r>
              <w:rPr>
                <w:rStyle w:val="Headera5"/>
                <w:sz w:val="20"/>
                <w:szCs w:val="20"/>
              </w:rPr>
              <w:t>2 490,50</w:t>
            </w:r>
          </w:p>
        </w:tc>
      </w:tr>
    </w:tbl>
    <w:p>
      <w:pPr>
        <w:sectPr>
          <w:headerReference w:type="default" r:id="rId59"/>
          <w:footerReference w:type="default" r:id="rId60"/>
          <w:type w:val="nextPage"/>
          <w:pgSz w:w="11906" w:h="16838"/>
          <w:pgMar w:left="1134" w:right="567" w:header="1134" w:top="1693" w:footer="720" w:bottom="1134" w:gutter="0"/>
          <w:pgNumType w:fmt="decimal"/>
          <w:formProt w:val="false"/>
          <w:textDirection w:val="lrTb"/>
          <w:docGrid w:type="default" w:linePitch="100" w:charSpace="0"/>
        </w:sectPr>
        <w:pStyle w:val="A1"/>
        <w:spacing w:before="240" w:after="0"/>
        <w:contextualSpacing/>
        <w:rPr/>
      </w:pPr>
      <w:r>
        <w:rPr/>
        <w:t>Предложенные мероприятия носят предпроектный характер и требуют более детальной проработки и технико-экономического обоснования в ходе подготовки проектной документации.</w:t>
      </w:r>
    </w:p>
    <w:p>
      <w:pPr>
        <w:pStyle w:val="Style119"/>
        <w:spacing w:before="240" w:after="0"/>
        <w:rPr/>
      </w:pPr>
      <w:bookmarkStart w:id="205" w:name="_Ref532375951"/>
      <w:r>
        <w:rPr/>
        <w:t xml:space="preserve">Таблица </w:t>
      </w:r>
      <w:r>
        <w:rPr/>
        <w:fldChar w:fldCharType="begin"/>
      </w:r>
      <w:r>
        <w:rPr/>
        <w:instrText> SEQ Таблица \* ARABIC </w:instrText>
      </w:r>
      <w:r>
        <w:rPr/>
        <w:fldChar w:fldCharType="separate"/>
      </w:r>
      <w:r>
        <w:rPr/>
        <w:t>24</w:t>
      </w:r>
      <w:r>
        <w:rPr/>
        <w:fldChar w:fldCharType="end"/>
      </w:r>
      <w:bookmarkEnd w:id="205"/>
      <w:r>
        <w:rPr/>
        <w:t>. Общая программа мероприятий по модернизации системы теплоснабжения, тыс. руб.</w:t>
      </w:r>
    </w:p>
    <w:tbl>
      <w:tblPr>
        <w:tblW w:w="15524" w:type="dxa"/>
        <w:jc w:val="left"/>
        <w:tblInd w:w="-289" w:type="dxa"/>
        <w:tblCellMar>
          <w:top w:w="0" w:type="dxa"/>
          <w:left w:w="108" w:type="dxa"/>
          <w:bottom w:w="0" w:type="dxa"/>
          <w:right w:w="108" w:type="dxa"/>
        </w:tblCellMar>
        <w:tblLook w:firstRow="1" w:noVBand="1" w:lastRow="0" w:firstColumn="1" w:lastColumn="0" w:noHBand="0" w:val="04a0"/>
      </w:tblPr>
      <w:tblGrid>
        <w:gridCol w:w="568"/>
        <w:gridCol w:w="4669"/>
        <w:gridCol w:w="992"/>
        <w:gridCol w:w="992"/>
        <w:gridCol w:w="1138"/>
        <w:gridCol w:w="1133"/>
        <w:gridCol w:w="1135"/>
        <w:gridCol w:w="1133"/>
        <w:gridCol w:w="1135"/>
        <w:gridCol w:w="992"/>
        <w:gridCol w:w="1635"/>
      </w:tblGrid>
      <w:tr>
        <w:trPr>
          <w:tblHeader w:val="true"/>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xml:space="preserve">№ </w:t>
            </w:r>
            <w:r>
              <w:rPr>
                <w:color w:val="000000"/>
                <w:sz w:val="20"/>
                <w:szCs w:val="20"/>
              </w:rPr>
              <w:t>п/п</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Мероприятие</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2021</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2022</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2023</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2024</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2025-2030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2031-2036</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ИТОГО</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xml:space="preserve">Источник финансирования </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Строительство блочно-модульной котельной Стадион 7 МВт взамен существующей с учетом вывода из эксплуатации трех угольных котельных («Школа №1», «Орбита» и «ОВД») и переключения тепловых нагрузок</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32221</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34221</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котельной Константиновка с увеличением мощности до 5 МВт, вывод из эксплуатации угольной котельной «Плодпитомник» и переключения тепловых нагрузок</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23097</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24597</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Строительство новой БМК М. Горького, 15 мощно-стью 11 МВт с переключением тепловых нагрузок котельной "Инженерный центр", части  тепловых нагрузок котельных "Железнодорожная", "Пролетарская", вывод котельной "Инженерный центр" из эксплуатации.</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40328</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42828</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Строительство новой БМК Карловарская-Загородная 12МВт с учетом переключения тепловых нагрузок котельной "ЗСМ", вывод котельной "ЗСМ" из эксплуатации</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43176</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46176</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БМК ЛТЦ-23 с увеличением установленной мощности до 1,0 МВт, вывод из эксплуатации угольной котельной «ПДУ» и переключения тепловых нагрузок</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4332</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5332</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6</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котельной Городская баня с переводом на газ 1,2 МВт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5998</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6998</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7</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Установка системы водоподготовки на котельной Константиновка производительностью 2 т/ч</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8</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существующей угольной котельной «Виток» по адресу ул. Кр. Партизан, 55 с переводом ее на газовое топливо мощность 0,3 МВт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2000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9</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существующей угольной котельной «Пригородная» по адресу ул. Ирбитская, 75  с переводом ее на газовое топливо мощность 0,3 МВт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2000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2000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10</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существующей угольной котельной «Школа №7» по адресу ул. Кр. Партизан, 2 с переводом ее на газовое топливо утановленной мощностью 0,25 МВт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11</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существующей угольной котельной «КГТУ» по адресу ул.Северная 63 с переводом ее на газовое топливо мощность 3,0 МВт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9225</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9225</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12</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Реконструкция существующей угольной котельной«Агроспецмонтаж» мощностью 0,8 МВт с переводом ее на газовое топливо</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4756</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4756</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13</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Перевод потребителей угольной котельной «Сельэнерго» на поквартирное газовое отопление суммарной тепловой нагрузкой 0,17 Гкал/ч</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14</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Установка дизель-генератора на котельной Железнодорожная</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15</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Перевод потребителей по адресу Энгельса 165, 167 с котельной ПЛ16 на котельную Р. Люксембург 11 с  выводом из эксплуатации угольной котельной ПЛ16 и реконструкцией и новым строительством 1052 м тепловых сетей в двухтрубном исполнении</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13986</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13986</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16</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Перевод 4 потребителей  по адресу Свердлова 71, 73,  75, 75а с котельной школы № 58 на котельную Железнодорожная с прокладкой  с выводом из эксплуатации угольной котельной школы № 56 и  реконструкцией и новым строительством 1930 м тепловых сетей в двухтрубном исполнении</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37128</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37128</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17</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Гидравлическая наладка тепловых сетей путем установки балансировочного дроссельного оборудования на вводы потребителей</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18</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Строительство БМК Боровая взамен существующей котельной "Пролетарская" мощностью не менее 15 Гкал/ч с переключением тепловых нагрузок котельной "ФГКУ "354 ВКГ" МО РФ"</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51047</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54047</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19</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Мероприятия по обеспечению перспективных нагрузок проектируемого района Западной части (Полевя, Вайнера, Садовая, Агрономическая, Кооперативная): строительство газовой котельной мощностью 1,05 Гкал/час и тепловых сетей Ду=100 мм</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7000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7000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застройщика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20</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Мероприятия по обеспечению перспективных нагрузок проектируемого района Западной части (Энгельса, Садовая, Закамышловская, Кутузова): строительство БМК детского сада мощностью не менее 0,5 Гкал/час и тепловых сетей Ду=100 мм</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3500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застройщика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21</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Мероприятия по обеспечению перспективных нагрузок проектируемого района Восточной части: строительство пристроенной газовой котельной мощностью не менее 7,0 Гкал/ч и тепловых сетей Ду50-200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39109</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39109</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застройщика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22</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Мероприятия по обеспечению перспективных нагрузок проектируемого района Северной части: строительство блочно-модульной котельной мощностью 2,5 МВт и тепловых сетей Ду 50-150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16354</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16354</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застройщика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23</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Актуализация схемы теплоснабжения</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24</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Инвентаризация тепловых сетей МУП "ТСО"</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1500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25</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Внедрение системы комплексной диспетчеризации котельных МУП "ТСО"</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15000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15000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 / средства РСО</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26</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Установка приборов учета в соответствии с 261 ФЗ (редакция от 2019 года)</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2000</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Средства управляющих компаний / физических лиц</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27</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color w:val="000000"/>
                <w:sz w:val="20"/>
                <w:szCs w:val="20"/>
              </w:rPr>
            </w:pPr>
            <w:r>
              <w:rPr>
                <w:color w:val="000000"/>
                <w:sz w:val="20"/>
                <w:szCs w:val="20"/>
              </w:rPr>
              <w:t>Мероприятия по модернизации тепловых сетей в связи с закрытием угольных котельных и переводом на газ потребителей частного жилого фонда, в связи с ежегодной заменой тепловых сетей, 352 участка Ду 50-250 суммарной протяженностью 16,95 км</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19703</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19703</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19703</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19703</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19703</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98670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98670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295855</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Местный бюджет</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 </w:t>
            </w:r>
          </w:p>
        </w:tc>
        <w:tc>
          <w:tcPr>
            <w:tcW w:w="46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b/>
                <w:b/>
                <w:bCs/>
                <w:color w:val="000000"/>
                <w:sz w:val="20"/>
                <w:szCs w:val="20"/>
              </w:rPr>
            </w:pPr>
            <w:r>
              <w:rPr>
                <w:b/>
                <w:bCs/>
                <w:color w:val="000000"/>
                <w:sz w:val="20"/>
                <w:szCs w:val="20"/>
              </w:rPr>
              <w:t>ИТОГО:</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20303</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22803</w:t>
            </w:r>
          </w:p>
        </w:tc>
        <w:tc>
          <w:tcPr>
            <w:tcW w:w="11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26803</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41801</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214504</w:t>
            </w:r>
          </w:p>
        </w:tc>
        <w:tc>
          <w:tcPr>
            <w:tcW w:w="113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220618</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123780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b/>
                <w:b/>
                <w:bCs/>
                <w:color w:val="000000"/>
                <w:sz w:val="20"/>
                <w:szCs w:val="20"/>
              </w:rPr>
            </w:pPr>
            <w:r>
              <w:rPr>
                <w:b/>
                <w:bCs/>
                <w:color w:val="000000"/>
                <w:sz w:val="20"/>
                <w:szCs w:val="20"/>
              </w:rPr>
              <w:t>670612</w:t>
            </w:r>
          </w:p>
        </w:tc>
        <w:tc>
          <w:tcPr>
            <w:tcW w:w="16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color w:val="000000"/>
                <w:sz w:val="20"/>
                <w:szCs w:val="20"/>
              </w:rPr>
            </w:pPr>
            <w:r>
              <w:rPr>
                <w:color w:val="000000"/>
                <w:sz w:val="20"/>
                <w:szCs w:val="20"/>
              </w:rPr>
              <w:t> </w:t>
            </w:r>
          </w:p>
        </w:tc>
      </w:tr>
    </w:tbl>
    <w:p>
      <w:pPr>
        <w:sectPr>
          <w:headerReference w:type="default" r:id="rId61"/>
          <w:headerReference w:type="first" r:id="rId62"/>
          <w:footerReference w:type="default" r:id="rId63"/>
          <w:type w:val="nextPage"/>
          <w:pgSz w:orient="landscape" w:w="16838" w:h="11906"/>
          <w:pgMar w:left="1134" w:right="1134" w:header="567" w:top="1126" w:footer="709" w:bottom="1134" w:gutter="0"/>
          <w:pgNumType w:fmt="decimal"/>
          <w:formProt w:val="false"/>
          <w:titlePg/>
          <w:textDirection w:val="lrTb"/>
          <w:docGrid w:type="default" w:linePitch="360" w:charSpace="0"/>
        </w:sectPr>
      </w:pPr>
    </w:p>
    <w:p>
      <w:pPr>
        <w:pStyle w:val="A1"/>
        <w:rPr/>
      </w:pPr>
      <w:bookmarkStart w:id="206" w:name="_Toc4372783821"/>
      <w:bookmarkStart w:id="207" w:name="_Hlk50092359"/>
      <w:bookmarkEnd w:id="206"/>
      <w:bookmarkEnd w:id="207"/>
      <w:r>
        <w:rPr/>
        <w:t>Мероприятия, предложенные к реализации в схеме теплоснабжения городского округа, делятся на два типа: мероприятия, обеспечивающие нормативную надежность функционирования систем теплоснабжения, а также инвестиционные мероприятия, обеспечивающие снижение затрат на эксплуатацию и обеспечение тепловой энергией новых перспективных потребителей. Ключевой разницей данных типов мероприятий является отсутствие возможности рациональной окупаемости мероприятий первого типа, как, например, замена ветхих тепловых сетей, так как в случае реализации будет обеспечиваться нормативный уровень надежности теплоснабжения, который не принесет значительного сокращения затрат или дополнительного отпуска тепловой энергии.</w:t>
      </w:r>
    </w:p>
    <w:p>
      <w:pPr>
        <w:pStyle w:val="A1"/>
        <w:rPr/>
      </w:pPr>
      <w:r>
        <w:rPr/>
        <w:t>Для оценки экономической эффективности мероприятий второго типа по развитию источников тепловой энергии и тепловых сетей необходимо оценить суммарное изменение затрат в системе, получаемое от реализации предлагаемых мероприятий. В данной части рассматриваются мероприятия по 1 и 2 этапам модернизации.</w:t>
      </w:r>
    </w:p>
    <w:p>
      <w:pPr>
        <w:pStyle w:val="A1"/>
        <w:rPr/>
      </w:pPr>
      <w:r>
        <w:rPr/>
        <w:t xml:space="preserve"> </w:t>
      </w:r>
      <w:r>
        <w:rPr/>
        <w:t xml:space="preserve">Целесообразность осуществления проекта рассчитывается благодаря системе следующих показателей: </w:t>
      </w:r>
    </w:p>
    <w:p>
      <w:pPr>
        <w:pStyle w:val="A1"/>
        <w:rPr/>
      </w:pPr>
      <w:r>
        <w:rPr/>
        <w:t xml:space="preserve">1) Чистый дисконтированный доход (ЧДД или NPV), который определяется как разность между дисконтированным системным эффектом и дисконтированными затратами: ЧДД=Э-З, где Э – суммарное снижение затрат в системе теплоснабжения, дисконтированное на момент расчетов, т.е. на 2018 год; З – дисконтированные затраты, связанные с сооружением объекта. </w:t>
      </w:r>
    </w:p>
    <w:p>
      <w:pPr>
        <w:pStyle w:val="A1"/>
        <w:rPr/>
      </w:pPr>
      <w:r>
        <w:rPr/>
        <w:t xml:space="preserve">2) Индекс доходности (ИД или PI) - отношение дисконтированного системного эффекта к дисконтированным затратам: ИД=Э/З. </w:t>
      </w:r>
    </w:p>
    <w:p>
      <w:pPr>
        <w:pStyle w:val="A1"/>
        <w:rPr/>
      </w:pPr>
      <w:r>
        <w:rPr/>
        <w:t xml:space="preserve">3) Внутренняя норма доходности (ВНД или IRR) - ставка дисконтирования, при которой ЧДД равен нулю. </w:t>
      </w:r>
    </w:p>
    <w:p>
      <w:pPr>
        <w:pStyle w:val="A1"/>
        <w:rPr/>
      </w:pPr>
      <w:r>
        <w:rPr/>
        <w:t xml:space="preserve">4) Срок окупаемости капиталовложений - это год, в котором разность (Э-З) становится положительной и остается таковой до конца расчетного периода. Оценка экономической эффективности производится для всех мероприятий Схемы теплоснабжения (в целом по городу). </w:t>
      </w:r>
    </w:p>
    <w:p>
      <w:pPr>
        <w:pStyle w:val="A1"/>
        <w:rPr/>
      </w:pPr>
      <w:r>
        <w:rPr/>
        <w:t xml:space="preserve">При этом учитываются положительные и отрицательные денежные потоки, возникающие в период реализации мероприятий, предусмотренных настоящей Схемой теплоснабжения. Расходы, учитываемые при формировании результатов финансово-хозяйственной деятельности ТСО, определяются по материалам тарифных дел. </w:t>
      </w:r>
    </w:p>
    <w:p>
      <w:pPr>
        <w:pStyle w:val="A1"/>
        <w:rPr/>
      </w:pPr>
      <w:r>
        <w:rPr/>
        <w:t xml:space="preserve">В расчетах учитываются следующие денежные потоки: </w:t>
      </w:r>
    </w:p>
    <w:p>
      <w:pPr>
        <w:sectPr>
          <w:headerReference w:type="default" r:id="rId64"/>
          <w:footerReference w:type="default" r:id="rId65"/>
          <w:type w:val="nextPage"/>
          <w:pgSz w:w="11906" w:h="16838"/>
          <w:pgMar w:left="1134" w:right="567" w:header="1134" w:top="1693" w:footer="0" w:bottom="1134" w:gutter="0"/>
          <w:pgNumType w:fmt="decimal"/>
          <w:formProt w:val="false"/>
          <w:textDirection w:val="lrTb"/>
          <w:docGrid w:type="default" w:linePitch="360" w:charSpace="0"/>
        </w:sectPr>
        <w:pStyle w:val="A1"/>
        <w:rPr/>
      </w:pPr>
      <w:r>
        <w:rPr/>
        <w:t>1. Выручка. Для определения выручки, получаемой от прироста объемов производства (отпуска) тепловой энергии, используется средний расчетный тариф для конечного потребителя, с учетом соответствующего вида инфляции МЭР. Фактическая (базовая) величина полезного отпуска принимается по данным тарифных дел. Расчетное изменение отпусков тепловой энергии применяется к базовому отпуску. Выручка по группам проектов, предусматривающим мероприятия по строительству тепловых сетей, определяется расчётными удельными затратами на подключение 1 Гкал/ч мощности потребления к тепловым сетям новых перспективных потребителей. Эти затраты определяются в отношении к суммарной перспективной подключаемой нагрузке без учета изменения зон деятельности теплоисточников.</w:t>
      </w:r>
    </w:p>
    <w:p>
      <w:pPr>
        <w:pStyle w:val="A1"/>
        <w:rPr/>
      </w:pPr>
      <w:r>
        <w:rPr/>
        <w:t xml:space="preserve">2. Изменение топливных затрат. Стоимость различных видов топлива, используемых на источниках тепловой энергии принимается по фактическим ценам, с учетом индексации на соответствующий вид инфляции по данным МЭР. </w:t>
      </w:r>
    </w:p>
    <w:p>
      <w:pPr>
        <w:pStyle w:val="A1"/>
        <w:rPr/>
      </w:pPr>
      <w:r>
        <w:rPr/>
        <w:t xml:space="preserve">3. Амортизационные отчисления. Определяются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pPr>
        <w:pStyle w:val="A1"/>
        <w:rPr/>
      </w:pPr>
      <w:r>
        <w:rPr/>
        <w:t xml:space="preserve">4. Затраты на техническое обслуживание (ТО) и ремонт объектов основных средств (отчисления в ремонтный фонд). Затраты на техническое обслуживание (ТО) и ремонты определяются на основании СО 34.20.611-2003. Данный документ устанавливает нормативы затрат на ремонт по отдельным видам и группам основных средств энергопредприятий в процентах от балансовой стоимости в ценах по состоянию на 1 января 1991 года. Порядок пересчета балансовой стоимости основных средств в цены по состоянию на 01.01.91 г., порядок определения нормативной величины затрат и пересчета их в текущие цены определен в СО 34.20.609- 2003. </w:t>
      </w:r>
    </w:p>
    <w:p>
      <w:pPr>
        <w:pStyle w:val="A1"/>
        <w:rPr/>
      </w:pPr>
      <w:r>
        <w:rPr/>
        <w:t xml:space="preserve">5. Изменение затрат на воду. Стоимость воды определяется по текущей фактической стоимости питьевой воды, с учетом индексации на соответствующий темп инфляции. </w:t>
      </w:r>
    </w:p>
    <w:p>
      <w:pPr>
        <w:pStyle w:val="A1"/>
        <w:rPr/>
      </w:pPr>
      <w:r>
        <w:rPr/>
        <w:t>6. Снижение величины тепловых потерь через изоляцию. По результатам мероприятий удалось достигнуть суммарной величины сокращения потерь на уровне 4,869 Гкал/ч.</w:t>
      </w:r>
    </w:p>
    <w:p>
      <w:pPr>
        <w:pStyle w:val="A1"/>
        <w:rPr/>
      </w:pPr>
      <w:r>
        <w:rPr/>
        <w:t xml:space="preserve">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 Показатели эффективности инвестиций позволяют определить эффективность вложения средств в тот или иной проект. Расчет произведен с целью определения потенциальной привлекательности мероприятий Схемы для возможных участников, определения потребности в дополнительном финансировании, а также определения достаточности средств для обеспечения безубыточного функционирования теплоснабжающих предприятий при реализации мероприятий Схемы в сложившихся на момент расчета ценовых и макроэкономических условиях. </w:t>
      </w:r>
    </w:p>
    <w:p>
      <w:pPr>
        <w:pStyle w:val="A1"/>
        <w:rPr/>
      </w:pPr>
      <w:r>
        <w:rPr/>
        <w:t xml:space="preserve">Оценка экономической эффективности мероприятий по модернизации системы централизованного теплоснабжения Камышловского городского округа по 1 и 2 этапам без учета мероприятий по обеспечению тепловой энергией перспективных потребителей представлена в таблице </w:t>
      </w:r>
      <w:r>
        <w:rPr/>
        <w:fldChar w:fldCharType="begin"/>
      </w:r>
      <w:r>
        <w:rPr/>
        <w:instrText> REF _Ref50092067 \h </w:instrText>
      </w:r>
      <w:r>
        <w:rPr/>
        <w:fldChar w:fldCharType="separate"/>
      </w:r>
      <w:r>
        <w:rPr/>
        <w:t>Таблица 25</w:t>
      </w:r>
      <w:r>
        <w:rPr/>
        <w:fldChar w:fldCharType="end"/>
      </w:r>
      <w:r>
        <w:rPr/>
        <w:t>.</w:t>
      </w:r>
    </w:p>
    <w:p>
      <w:pPr>
        <w:pStyle w:val="Style85"/>
        <w:rPr/>
      </w:pPr>
      <w:bookmarkStart w:id="208" w:name="_Ref50092067"/>
      <w:r>
        <w:rPr/>
        <w:t xml:space="preserve">Таблица </w:t>
      </w:r>
      <w:r>
        <w:rPr/>
        <w:fldChar w:fldCharType="begin"/>
      </w:r>
      <w:r>
        <w:rPr/>
        <w:instrText> SEQ Таблица \* ARABIC </w:instrText>
      </w:r>
      <w:r>
        <w:rPr/>
        <w:fldChar w:fldCharType="separate"/>
      </w:r>
      <w:r>
        <w:rPr/>
        <w:t>25</w:t>
      </w:r>
      <w:r>
        <w:rPr/>
        <w:fldChar w:fldCharType="end"/>
      </w:r>
      <w:bookmarkEnd w:id="208"/>
      <w:r>
        <w:rPr/>
        <w:t>. Оценка экономической эффективности мероприятий по модернизации системы централизованного теплоснабжения по 1 и 2 этапам (без учета перспективы)</w:t>
      </w:r>
    </w:p>
    <w:tbl>
      <w:tblPr>
        <w:tblW w:w="10158" w:type="dxa"/>
        <w:jc w:val="left"/>
        <w:tblInd w:w="87" w:type="dxa"/>
        <w:tblCellMar>
          <w:top w:w="0" w:type="dxa"/>
          <w:left w:w="108" w:type="dxa"/>
          <w:bottom w:w="0" w:type="dxa"/>
          <w:right w:w="108" w:type="dxa"/>
        </w:tblCellMar>
        <w:tblLook w:firstRow="1" w:noVBand="1" w:lastRow="0" w:firstColumn="1" w:lastColumn="0" w:noHBand="0" w:val="04a0"/>
      </w:tblPr>
      <w:tblGrid>
        <w:gridCol w:w="1487"/>
        <w:gridCol w:w="1776"/>
        <w:gridCol w:w="1900"/>
        <w:gridCol w:w="1567"/>
        <w:gridCol w:w="1685"/>
        <w:gridCol w:w="1742"/>
      </w:tblGrid>
      <w:tr>
        <w:trPr>
          <w:trHeight w:val="320" w:hRule="atLeast"/>
        </w:trPr>
        <w:tc>
          <w:tcPr>
            <w:tcW w:w="3263" w:type="dxa"/>
            <w:gridSpan w:val="2"/>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Экономия ТЭР (тыс. руб)</w:t>
            </w:r>
          </w:p>
        </w:tc>
        <w:tc>
          <w:tcPr>
            <w:tcW w:w="1900"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Снижение затрат на обслуживание и ремонт (тыс. руб)</w:t>
            </w:r>
          </w:p>
        </w:tc>
        <w:tc>
          <w:tcPr>
            <w:tcW w:w="1567"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Увеличение амортизации (тыс. руб)</w:t>
            </w:r>
          </w:p>
        </w:tc>
        <w:tc>
          <w:tcPr>
            <w:tcW w:w="1685"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Увеличение полезного отпуска (тыс. руб)</w:t>
            </w:r>
          </w:p>
        </w:tc>
        <w:tc>
          <w:tcPr>
            <w:tcW w:w="1742"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ИТОГО эффективность, тыс. руб.</w:t>
            </w:r>
          </w:p>
        </w:tc>
      </w:tr>
      <w:tr>
        <w:trPr>
          <w:trHeight w:val="320" w:hRule="atLeast"/>
        </w:trPr>
        <w:tc>
          <w:tcPr>
            <w:tcW w:w="148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Топливо</w:t>
            </w:r>
          </w:p>
        </w:tc>
        <w:tc>
          <w:tcPr>
            <w:tcW w:w="1776"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Электроэнергия</w:t>
            </w:r>
          </w:p>
        </w:tc>
        <w:tc>
          <w:tcPr>
            <w:tcW w:w="1900"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567"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685"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742"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r>
      <w:tr>
        <w:trPr>
          <w:trHeight w:val="320" w:hRule="atLeast"/>
        </w:trPr>
        <w:tc>
          <w:tcPr>
            <w:tcW w:w="148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t>(газ, уголь)</w:t>
            </w:r>
          </w:p>
        </w:tc>
        <w:tc>
          <w:tcPr>
            <w:tcW w:w="1776"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900"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567"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685"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c>
          <w:tcPr>
            <w:tcW w:w="1742"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b/>
                <w:b/>
                <w:bCs/>
                <w:color w:val="000000"/>
                <w:sz w:val="20"/>
                <w:szCs w:val="20"/>
              </w:rPr>
            </w:pPr>
            <w:r>
              <w:rPr>
                <w:b/>
                <w:bCs/>
                <w:color w:val="000000"/>
                <w:sz w:val="20"/>
                <w:szCs w:val="20"/>
              </w:rPr>
            </w:r>
          </w:p>
        </w:tc>
      </w:tr>
      <w:tr>
        <w:trPr>
          <w:trHeight w:val="482" w:hRule="atLeast"/>
        </w:trPr>
        <w:tc>
          <w:tcPr>
            <w:tcW w:w="148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3 907,21</w:t>
            </w:r>
          </w:p>
        </w:tc>
        <w:tc>
          <w:tcPr>
            <w:tcW w:w="1776"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-748,69</w:t>
            </w:r>
          </w:p>
        </w:tc>
        <w:tc>
          <w:tcPr>
            <w:tcW w:w="190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8828,0</w:t>
            </w:r>
          </w:p>
        </w:tc>
        <w:tc>
          <w:tcPr>
            <w:tcW w:w="156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49562,6</w:t>
            </w:r>
          </w:p>
        </w:tc>
        <w:tc>
          <w:tcPr>
            <w:tcW w:w="1685"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78362,3</w:t>
            </w:r>
          </w:p>
        </w:tc>
        <w:tc>
          <w:tcPr>
            <w:tcW w:w="1742"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jc w:val="center"/>
              <w:rPr/>
            </w:pPr>
            <w:r>
              <w:rPr>
                <w:color w:val="000000"/>
                <w:sz w:val="22"/>
              </w:rPr>
              <w:t>42076,5</w:t>
            </w:r>
          </w:p>
        </w:tc>
      </w:tr>
    </w:tbl>
    <w:p>
      <w:pPr>
        <w:pStyle w:val="A1"/>
        <w:rPr/>
      </w:pPr>
      <w:r>
        <w:rPr/>
        <w:t>Реализацию предложенных мероприятий рекомендуется производить без учета внедрения тарифной инвестиционной надбавки, за счет средств эксплуатирующей организации, либо инвестиционных средств, поэтому ценовые последствия для потребителей при реализации программ строительства, реконструкции и технического перевооружения системы теплоснабжения не ожидаются.</w:t>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A1"/>
        <w:rPr/>
      </w:pPr>
      <w:r>
        <w:rPr/>
      </w:r>
    </w:p>
    <w:p>
      <w:pPr>
        <w:pStyle w:val="148"/>
        <w:rPr/>
      </w:pPr>
      <w:bookmarkStart w:id="209" w:name="_Toc50093586"/>
      <w:bookmarkStart w:id="210" w:name="_Hlk500923591"/>
      <w:bookmarkEnd w:id="210"/>
      <w:r>
        <w:rPr/>
        <w:t>Раздел 10. Решение об определении единой теплоснабжающей организации (организаций)</w:t>
      </w:r>
      <w:bookmarkEnd w:id="209"/>
    </w:p>
    <w:p>
      <w:pPr>
        <w:pStyle w:val="A1"/>
        <w:rPr/>
      </w:pPr>
      <w:bookmarkStart w:id="211" w:name="_Ref437275857"/>
      <w:bookmarkEnd w:id="211"/>
      <w:r>
        <w:rPr/>
        <w:t xml:space="preserve">В соответствии с пунктом 28 статьи 2 Федерального закона от 27.07.2010 №190-ФЗ </w:t>
        <w:br/>
        <w:t>«О теплоснабжении»:</w:t>
      </w:r>
    </w:p>
    <w:p>
      <w:pPr>
        <w:pStyle w:val="A1"/>
        <w:rPr/>
      </w:pPr>
      <w:r>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A1"/>
        <w:rPr/>
      </w:pPr>
      <w:r>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pPr>
        <w:pStyle w:val="A1"/>
        <w:rPr/>
      </w:pPr>
      <w:r>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pPr>
        <w:pStyle w:val="A1"/>
        <w:rPr/>
      </w:pPr>
      <w:r>
        <w:rPr/>
        <w:t>Критерии определения единой теплоснабжающей организации:</w:t>
      </w:r>
    </w:p>
    <w:p>
      <w:pPr>
        <w:pStyle w:val="Style92"/>
        <w:numPr>
          <w:ilvl w:val="0"/>
          <w:numId w:val="4"/>
        </w:numPr>
        <w:spacing w:lineRule="auto" w:line="276"/>
        <w:ind w:left="0" w:firstLine="567"/>
        <w:rPr/>
      </w:pPr>
      <w:r>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pPr>
        <w:pStyle w:val="Style92"/>
        <w:numPr>
          <w:ilvl w:val="0"/>
          <w:numId w:val="4"/>
        </w:numPr>
        <w:spacing w:lineRule="auto" w:line="276"/>
        <w:ind w:left="0" w:firstLine="567"/>
        <w:rPr/>
      </w:pPr>
      <w:r>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pPr>
        <w:pStyle w:val="Style92"/>
        <w:numPr>
          <w:ilvl w:val="0"/>
          <w:numId w:val="4"/>
        </w:numPr>
        <w:spacing w:lineRule="auto" w:line="276"/>
        <w:ind w:left="0" w:firstLine="567"/>
        <w:rPr/>
      </w:pPr>
      <w:r>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pPr>
        <w:pStyle w:val="A1"/>
        <w:rPr/>
      </w:pPr>
      <w:r>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pPr>
        <w:pStyle w:val="A1"/>
        <w:rPr/>
      </w:pPr>
      <w:r>
        <w:rPr/>
        <w:t xml:space="preserve">В качестве единой теплоснабжающей организации в Камышловском городском округе рассматривается несколько ресурсоснабжающих организаций в каждой из зон действия ЕТО с номерами от 1 до 5). </w:t>
      </w:r>
    </w:p>
    <w:p>
      <w:pPr>
        <w:pStyle w:val="A1"/>
        <w:rPr/>
      </w:pPr>
      <w:r>
        <w:rPr/>
        <w:t xml:space="preserve">В соответствии с рассматриваемыми критериями в качестве единой теплоснабжающей организации по каждой из зон действия предлагается к определению своя ресурсоснабжающая организация: </w:t>
      </w:r>
    </w:p>
    <w:p>
      <w:pPr>
        <w:pStyle w:val="Style92"/>
        <w:numPr>
          <w:ilvl w:val="0"/>
          <w:numId w:val="4"/>
        </w:numPr>
        <w:spacing w:lineRule="auto" w:line="276"/>
        <w:ind w:left="0" w:firstLine="567"/>
        <w:rPr>
          <w:lang w:eastAsia="ar-SA"/>
        </w:rPr>
      </w:pPr>
      <w:r>
        <w:rPr/>
        <w:t xml:space="preserve">МУП «ТСО» в зоне №1: ИНЗД №1-13,15-16,18-23,25-26; </w:t>
      </w:r>
    </w:p>
    <w:p>
      <w:pPr>
        <w:pStyle w:val="Style92"/>
        <w:numPr>
          <w:ilvl w:val="0"/>
          <w:numId w:val="4"/>
        </w:numPr>
        <w:spacing w:lineRule="auto" w:line="276"/>
        <w:ind w:left="0" w:firstLine="567"/>
        <w:rPr>
          <w:lang w:eastAsia="ar-SA"/>
        </w:rPr>
      </w:pPr>
      <w:r>
        <w:rPr/>
        <w:t xml:space="preserve">ОАО «РЖД» зоне №2: ИНЗД №14;  </w:t>
      </w:r>
    </w:p>
    <w:p>
      <w:pPr>
        <w:pStyle w:val="Style92"/>
        <w:numPr>
          <w:ilvl w:val="0"/>
          <w:numId w:val="4"/>
        </w:numPr>
        <w:spacing w:lineRule="auto" w:line="276"/>
        <w:ind w:left="0" w:firstLine="567"/>
        <w:rPr>
          <w:lang w:eastAsia="ar-SA"/>
        </w:rPr>
      </w:pPr>
      <w:r>
        <w:rPr/>
        <w:t xml:space="preserve">ООО «Русская энергетика» в зоне №3: ИНЗД №17;  </w:t>
      </w:r>
    </w:p>
    <w:p>
      <w:pPr>
        <w:pStyle w:val="Style92"/>
        <w:numPr>
          <w:ilvl w:val="0"/>
          <w:numId w:val="4"/>
        </w:numPr>
        <w:spacing w:lineRule="auto" w:line="276"/>
        <w:ind w:left="0" w:firstLine="567"/>
        <w:rPr>
          <w:lang w:eastAsia="ar-SA"/>
        </w:rPr>
      </w:pPr>
      <w:r>
        <w:rPr/>
        <w:t xml:space="preserve">ФГБУ «ЦЖКУ» Минобороны России в зоне №4: ИНЗД №27-28; </w:t>
      </w:r>
    </w:p>
    <w:p>
      <w:pPr>
        <w:pStyle w:val="Style92"/>
        <w:numPr>
          <w:ilvl w:val="0"/>
          <w:numId w:val="4"/>
        </w:numPr>
        <w:spacing w:lineRule="auto" w:line="276"/>
        <w:ind w:left="0" w:firstLine="567"/>
        <w:rPr/>
      </w:pPr>
      <w:r>
        <w:rPr/>
        <w:t xml:space="preserve">ООО "Стройконсалтинг" в зоне №5: ИНЗД №24. </w:t>
      </w:r>
    </w:p>
    <w:p>
      <w:pPr>
        <w:pStyle w:val="Style92"/>
        <w:numPr>
          <w:ilvl w:val="0"/>
          <w:numId w:val="0"/>
        </w:numPr>
        <w:spacing w:lineRule="auto" w:line="276"/>
        <w:ind w:left="1429" w:hanging="0"/>
        <w:rPr/>
      </w:pPr>
      <w:r>
        <w:rPr/>
      </w:r>
    </w:p>
    <w:p>
      <w:pPr>
        <w:pStyle w:val="Style92"/>
        <w:numPr>
          <w:ilvl w:val="0"/>
          <w:numId w:val="0"/>
        </w:numPr>
        <w:spacing w:lineRule="auto" w:line="276"/>
        <w:ind w:left="1429" w:hanging="0"/>
        <w:rPr/>
      </w:pPr>
      <w:r>
        <w:rPr/>
      </w:r>
    </w:p>
    <w:p>
      <w:pPr>
        <w:pStyle w:val="Style92"/>
        <w:numPr>
          <w:ilvl w:val="0"/>
          <w:numId w:val="0"/>
        </w:numPr>
        <w:spacing w:lineRule="auto" w:line="276"/>
        <w:ind w:left="1429" w:hanging="0"/>
        <w:rPr/>
      </w:pPr>
      <w:bookmarkStart w:id="212" w:name="_Ref4372758571"/>
      <w:bookmarkEnd w:id="212"/>
      <w:r>
        <w:rPr/>
        <w:t xml:space="preserve">               </w:t>
      </w:r>
      <w:bookmarkStart w:id="213" w:name="_Toc50093587"/>
      <w:r>
        <w:rPr/>
        <w:t>Раздел 11. Решения о распределении тепловой нагрузки между источниками тепловой энергии</w:t>
      </w:r>
      <w:bookmarkEnd w:id="213"/>
    </w:p>
    <w:p>
      <w:pPr>
        <w:pStyle w:val="A1"/>
        <w:rPr/>
      </w:pPr>
      <w:r>
        <w:rPr/>
        <w:t>На момент актуализации схемы теплоснабжения необходимость распределения тепловой нагрузки между источниками тепловой энергии отсутствует.</w:t>
      </w:r>
    </w:p>
    <w:p>
      <w:pPr>
        <w:pStyle w:val="148"/>
        <w:rPr/>
      </w:pPr>
      <w:r>
        <w:rPr/>
        <w:t xml:space="preserve">          </w:t>
      </w:r>
      <w:bookmarkStart w:id="214" w:name="_Toc50093588"/>
      <w:r>
        <w:rPr/>
        <w:t>Раздел 12. Решения по бесхозяйным тепловым сетям</w:t>
      </w:r>
      <w:bookmarkEnd w:id="214"/>
    </w:p>
    <w:p>
      <w:pPr>
        <w:pStyle w:val="A1"/>
        <w:rPr/>
      </w:pPr>
      <w:r>
        <w:rPr/>
        <w:t xml:space="preserve">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pPr>
        <w:pStyle w:val="A1"/>
        <w:rPr/>
      </w:pPr>
      <w:r>
        <w:rPr/>
        <w:t xml:space="preserve">Принятие на учет города бесхозяйных тепловых сетей (тепловых сетей, не имеющих эксплуатирующей организации), тепловые сети которой непосредственно соединены с участками тепловых сетей, не имеющими эксплуатирующей организации, с целью осуществления содержания и обслуживания участков тепловых сетей. </w:t>
      </w:r>
      <w:bookmarkStart w:id="215" w:name="_Hlk8035141"/>
      <w:bookmarkEnd w:id="215"/>
    </w:p>
    <w:p>
      <w:pPr>
        <w:pStyle w:val="A1"/>
        <w:rPr/>
      </w:pPr>
      <w:r>
        <w:rPr/>
        <w:t>На момент актуализации схемы теплоснабжения бесхозяйные тепловые сети на территории Камышловского городского округа не выявлены.</w:t>
      </w:r>
    </w:p>
    <w:p>
      <w:pPr>
        <w:pStyle w:val="Normal"/>
        <w:spacing w:lineRule="auto" w:line="276" w:before="0" w:after="200"/>
        <w:contextualSpacing/>
        <w:jc w:val="center"/>
        <w:rPr>
          <w:rFonts w:eastAsia="Calibri"/>
          <w:sz w:val="28"/>
          <w:szCs w:val="28"/>
          <w:lang w:eastAsia="en-US"/>
        </w:rPr>
      </w:pPr>
      <w:r>
        <w:rPr>
          <w:rFonts w:eastAsia="Calibri"/>
          <w:sz w:val="28"/>
          <w:szCs w:val="28"/>
          <w:lang w:eastAsia="en-US"/>
        </w:rPr>
      </w:r>
      <w:r>
        <w:br w:type="page"/>
      </w:r>
    </w:p>
    <w:p>
      <w:pPr>
        <w:pStyle w:val="148"/>
        <w:rPr/>
      </w:pPr>
      <w:bookmarkStart w:id="216" w:name="_Toc50093589"/>
      <w:r>
        <w:rPr/>
        <w:t>Раздел 13. Синхронизация схемы теплоснабжения с нормативными документами муниципального уровня</w:t>
      </w:r>
      <w:bookmarkEnd w:id="216"/>
    </w:p>
    <w:p>
      <w:pPr>
        <w:pStyle w:val="A1"/>
        <w:rPr/>
      </w:pPr>
      <w:r>
        <w:rPr/>
        <w:t>Анализ существующих нормативных документов муниципального уровня выявил, что на территории Камышловского городского округа на момент актуализации существует утвержденная схема водоснабжения и водоотведения городского округа, разработанная в 2018 г.</w:t>
      </w:r>
    </w:p>
    <w:p>
      <w:pPr>
        <w:pStyle w:val="Normal"/>
        <w:spacing w:lineRule="auto" w:line="300"/>
        <w:ind w:firstLine="567"/>
        <w:rPr/>
      </w:pPr>
      <w:r>
        <w:rPr/>
        <w:t xml:space="preserve">Целями разработки схемы водоснабжения и водоотведения являются: </w:t>
      </w:r>
    </w:p>
    <w:p>
      <w:pPr>
        <w:pStyle w:val="Style92"/>
        <w:numPr>
          <w:ilvl w:val="0"/>
          <w:numId w:val="1"/>
        </w:numPr>
        <w:ind w:left="0" w:firstLine="567"/>
        <w:rPr/>
      </w:pPr>
      <w:r>
        <w:rPr/>
        <w:t xml:space="preserve">охрана здоровья населения и улучшения качества жизни населения путём обеспечения бесперебойного и качественного водоснабжения; </w:t>
      </w:r>
    </w:p>
    <w:p>
      <w:pPr>
        <w:pStyle w:val="Style92"/>
        <w:numPr>
          <w:ilvl w:val="0"/>
          <w:numId w:val="1"/>
        </w:numPr>
        <w:ind w:left="0" w:firstLine="567"/>
        <w:rPr>
          <w:rFonts w:eastAsia="Calibri" w:eastAsiaTheme="minorHAnsi"/>
          <w:color w:val="000000"/>
        </w:rPr>
      </w:pPr>
      <w:r>
        <w:rPr>
          <w:rFonts w:eastAsia="Calibri" w:eastAsiaTheme="minorHAnsi"/>
          <w:color w:val="000000"/>
        </w:rPr>
        <w:t xml:space="preserve">повышение энергетической эффективности путём экономного потребления воды; </w:t>
      </w:r>
    </w:p>
    <w:p>
      <w:pPr>
        <w:pStyle w:val="Style92"/>
        <w:numPr>
          <w:ilvl w:val="0"/>
          <w:numId w:val="1"/>
        </w:numPr>
        <w:ind w:left="0" w:firstLine="567"/>
        <w:rPr>
          <w:rFonts w:eastAsia="Calibri" w:eastAsiaTheme="minorHAnsi"/>
          <w:color w:val="000000"/>
        </w:rPr>
      </w:pPr>
      <w:r>
        <w:rPr>
          <w:rFonts w:eastAsia="Calibri" w:eastAsiaTheme="minorHAnsi"/>
          <w:color w:val="000000"/>
        </w:rPr>
        <w:t xml:space="preserve">обеспечение доступности водоснабжения для абонентов за счёт повышения эффективности деятельности организаций, осуществляющих горячее или холодное водоснабжение; </w:t>
      </w:r>
    </w:p>
    <w:p>
      <w:pPr>
        <w:pStyle w:val="Style92"/>
        <w:numPr>
          <w:ilvl w:val="0"/>
          <w:numId w:val="1"/>
        </w:numPr>
        <w:ind w:left="0" w:firstLine="567"/>
        <w:rPr>
          <w:rFonts w:eastAsia="Calibri" w:eastAsiaTheme="minorHAnsi"/>
          <w:color w:val="000000"/>
        </w:rPr>
      </w:pPr>
      <w:r>
        <w:rPr>
          <w:rFonts w:eastAsia="Calibri" w:eastAsiaTheme="minorHAnsi"/>
          <w:color w:val="000000"/>
        </w:rPr>
        <w:t xml:space="preserve">обеспечение развития централизованных систем горячего водоснабжения,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горячее или холодное водоснабжение. </w:t>
      </w:r>
    </w:p>
    <w:p>
      <w:pPr>
        <w:pStyle w:val="A1"/>
        <w:rPr/>
      </w:pPr>
      <w:r>
        <w:rPr/>
        <w:t>С целью синхронизации схемы теплоснабжения и схемы водоснабжения и водоотведения Камышловского городского округа необходимо рассмотреть вектор развития инженерных систем в целом, а также проанализировать резервы/дефициты источников водоснабжения на территории городского округа.</w:t>
      </w:r>
    </w:p>
    <w:p>
      <w:pPr>
        <w:pStyle w:val="A1"/>
        <w:rPr/>
      </w:pPr>
      <w:r>
        <w:rPr/>
        <w:t xml:space="preserve">Схема газоснабжения на территории Камышловского городского округа не разрабатывалась. </w:t>
      </w:r>
    </w:p>
    <w:p>
      <w:pPr>
        <w:pStyle w:val="Normal"/>
        <w:spacing w:lineRule="auto" w:line="276" w:before="0" w:after="200"/>
        <w:contextualSpacing/>
        <w:rPr>
          <w:rFonts w:eastAsia="Calibri"/>
          <w:sz w:val="28"/>
          <w:szCs w:val="28"/>
          <w:lang w:eastAsia="en-US"/>
        </w:rPr>
      </w:pPr>
      <w:r>
        <w:rPr>
          <w:rFonts w:eastAsia="Calibri"/>
          <w:sz w:val="28"/>
          <w:szCs w:val="28"/>
          <w:lang w:eastAsia="en-US"/>
        </w:rPr>
      </w:r>
      <w:r>
        <w:br w:type="page"/>
      </w:r>
    </w:p>
    <w:p>
      <w:pPr>
        <w:pStyle w:val="148"/>
        <w:rPr/>
      </w:pPr>
      <w:bookmarkStart w:id="217" w:name="_Toc50093590"/>
      <w:r>
        <w:rPr/>
        <w:t>Раздел 14. Индикаторы развития систем теплоснабжения</w:t>
      </w:r>
      <w:bookmarkEnd w:id="217"/>
    </w:p>
    <w:p>
      <w:pPr>
        <w:pStyle w:val="A1"/>
        <w:rPr/>
      </w:pPr>
      <w:bookmarkStart w:id="218" w:name="_Hlk8035160"/>
      <w:bookmarkEnd w:id="218"/>
      <w:r>
        <w:rPr/>
        <w:t>На территории Камышловского городского округа можно выделить следующие индикаторы развития систем теплоснабжения на существующий и перспективный периоды:</w:t>
      </w:r>
    </w:p>
    <w:p>
      <w:pPr>
        <w:pStyle w:val="A1"/>
        <w:rPr/>
      </w:pPr>
      <w:r>
        <w:rPr/>
        <w:t>1) количество прекращений подачи тепловой энергии, теплоносителя в результате технологических нарушений на тепловых сетях:</w:t>
      </w:r>
    </w:p>
    <w:p>
      <w:pPr>
        <w:pStyle w:val="Style92"/>
        <w:numPr>
          <w:ilvl w:val="0"/>
          <w:numId w:val="4"/>
        </w:numPr>
        <w:spacing w:lineRule="auto" w:line="276"/>
        <w:ind w:left="0" w:firstLine="567"/>
        <w:rPr/>
      </w:pPr>
      <w:r>
        <w:rPr/>
        <w:t>Существующее положение – 8 шт.;</w:t>
      </w:r>
    </w:p>
    <w:p>
      <w:pPr>
        <w:pStyle w:val="Style92"/>
        <w:numPr>
          <w:ilvl w:val="0"/>
          <w:numId w:val="4"/>
        </w:numPr>
        <w:spacing w:lineRule="auto" w:line="276"/>
        <w:ind w:left="0" w:firstLine="567"/>
        <w:rPr/>
      </w:pPr>
      <w:r>
        <w:rPr/>
        <w:t>Перспективное положение – 0 шт.</w:t>
      </w:r>
    </w:p>
    <w:p>
      <w:pPr>
        <w:pStyle w:val="A1"/>
        <w:rPr/>
      </w:pPr>
      <w:r>
        <w:rPr/>
        <w:t>2) количество прекращений подачи тепловой энергии, теплоносителя в результате технологических нарушений на источниках тепловой энергии;</w:t>
      </w:r>
    </w:p>
    <w:p>
      <w:pPr>
        <w:pStyle w:val="Style92"/>
        <w:numPr>
          <w:ilvl w:val="0"/>
          <w:numId w:val="4"/>
        </w:numPr>
        <w:spacing w:lineRule="auto" w:line="276"/>
        <w:ind w:left="0" w:firstLine="567"/>
        <w:rPr/>
      </w:pPr>
      <w:r>
        <w:rPr/>
        <w:t>Существующее положение – 0 шт.;</w:t>
      </w:r>
    </w:p>
    <w:p>
      <w:pPr>
        <w:pStyle w:val="Style92"/>
        <w:numPr>
          <w:ilvl w:val="0"/>
          <w:numId w:val="4"/>
        </w:numPr>
        <w:spacing w:lineRule="auto" w:line="276"/>
        <w:ind w:left="0" w:firstLine="567"/>
        <w:rPr/>
      </w:pPr>
      <w:r>
        <w:rPr/>
        <w:t>Перспективное положение – 0 шт.</w:t>
      </w:r>
    </w:p>
    <w:p>
      <w:pPr>
        <w:pStyle w:val="A1"/>
        <w:rPr/>
      </w:pPr>
      <w:r>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pPr>
        <w:pStyle w:val="Style92"/>
        <w:numPr>
          <w:ilvl w:val="0"/>
          <w:numId w:val="4"/>
        </w:numPr>
        <w:spacing w:lineRule="auto" w:line="276"/>
        <w:ind w:left="0" w:firstLine="567"/>
        <w:rPr/>
      </w:pPr>
      <w:r>
        <w:rPr/>
        <w:t>Существующее положение – 185,4 кг.у.т/Гкал.</w:t>
      </w:r>
    </w:p>
    <w:p>
      <w:pPr>
        <w:pStyle w:val="Style92"/>
        <w:numPr>
          <w:ilvl w:val="0"/>
          <w:numId w:val="4"/>
        </w:numPr>
        <w:spacing w:lineRule="auto" w:line="276"/>
        <w:ind w:left="0" w:firstLine="567"/>
        <w:rPr/>
      </w:pPr>
      <w:r>
        <w:rPr/>
        <w:t>Перспективное положение – 170,0 кг.у.т/Гкал.</w:t>
      </w:r>
    </w:p>
    <w:p>
      <w:pPr>
        <w:pStyle w:val="A1"/>
        <w:rPr/>
      </w:pPr>
      <w:r>
        <w:rPr/>
        <w:t>4) отношение величины технологических потерь тепловой энергии, теплоносителя к материальной характеристике тепловой сети;</w:t>
      </w:r>
    </w:p>
    <w:p>
      <w:pPr>
        <w:pStyle w:val="Style92"/>
        <w:numPr>
          <w:ilvl w:val="0"/>
          <w:numId w:val="4"/>
        </w:numPr>
        <w:spacing w:lineRule="auto" w:line="276"/>
        <w:ind w:left="0" w:firstLine="567"/>
        <w:rPr/>
      </w:pPr>
      <w:r>
        <w:rPr/>
        <w:t>Существующее положение – 0,6 Гкал /м²;</w:t>
      </w:r>
    </w:p>
    <w:p>
      <w:pPr>
        <w:pStyle w:val="Style92"/>
        <w:numPr>
          <w:ilvl w:val="0"/>
          <w:numId w:val="4"/>
        </w:numPr>
        <w:spacing w:lineRule="auto" w:line="276"/>
        <w:ind w:left="0" w:firstLine="567"/>
        <w:rPr/>
      </w:pPr>
      <w:r>
        <w:rPr/>
        <w:t>Перспективное положение – 0,5 Гкал /м²;</w:t>
      </w:r>
    </w:p>
    <w:p>
      <w:pPr>
        <w:pStyle w:val="A1"/>
        <w:rPr/>
      </w:pPr>
      <w:r>
        <w:rPr/>
        <w:t>5) коэффициент использования установленной тепловой мощности;</w:t>
      </w:r>
    </w:p>
    <w:p>
      <w:pPr>
        <w:pStyle w:val="Style92"/>
        <w:numPr>
          <w:ilvl w:val="0"/>
          <w:numId w:val="4"/>
        </w:numPr>
        <w:spacing w:lineRule="auto" w:line="276"/>
        <w:ind w:left="0" w:firstLine="567"/>
        <w:rPr/>
      </w:pPr>
      <w:r>
        <w:rPr/>
        <w:t>Существующее положение – 51,6 %.</w:t>
      </w:r>
    </w:p>
    <w:p>
      <w:pPr>
        <w:pStyle w:val="Style92"/>
        <w:numPr>
          <w:ilvl w:val="0"/>
          <w:numId w:val="4"/>
        </w:numPr>
        <w:spacing w:lineRule="auto" w:line="276"/>
        <w:ind w:left="0" w:firstLine="567"/>
        <w:rPr/>
      </w:pPr>
      <w:r>
        <w:rPr/>
        <w:t>Перспективное положение – 40,0 %.</w:t>
      </w:r>
    </w:p>
    <w:p>
      <w:pPr>
        <w:pStyle w:val="A1"/>
        <w:rPr/>
      </w:pPr>
      <w:r>
        <w:rPr/>
        <w:t>6) удельная материальная характеристика тепловых сетей, приведенная к расчетной тепловой нагрузке;</w:t>
      </w:r>
    </w:p>
    <w:p>
      <w:pPr>
        <w:pStyle w:val="Style92"/>
        <w:numPr>
          <w:ilvl w:val="0"/>
          <w:numId w:val="4"/>
        </w:numPr>
        <w:spacing w:lineRule="auto" w:line="276"/>
        <w:ind w:left="0" w:firstLine="567"/>
        <w:rPr/>
      </w:pPr>
      <w:r>
        <w:rPr/>
        <w:t>Существующее положение – 105,4 м²/Гкал/ч;</w:t>
      </w:r>
    </w:p>
    <w:p>
      <w:pPr>
        <w:pStyle w:val="Style92"/>
        <w:numPr>
          <w:ilvl w:val="0"/>
          <w:numId w:val="4"/>
        </w:numPr>
        <w:spacing w:lineRule="auto" w:line="276"/>
        <w:ind w:left="0" w:firstLine="567"/>
        <w:rPr/>
      </w:pPr>
      <w:r>
        <w:rPr/>
        <w:t>Перспективное положение – 70,0 м²/Гкал/ч;</w:t>
      </w:r>
    </w:p>
    <w:p>
      <w:pPr>
        <w:pStyle w:val="A1"/>
        <w:rPr/>
      </w:pPr>
      <w:r>
        <w:rPr/>
        <w:t>7) удельный расход условного топлива на отпуск электрической энергии;</w:t>
      </w:r>
    </w:p>
    <w:p>
      <w:pPr>
        <w:pStyle w:val="Style92"/>
        <w:numPr>
          <w:ilvl w:val="0"/>
          <w:numId w:val="4"/>
        </w:numPr>
        <w:spacing w:lineRule="auto" w:line="276"/>
        <w:ind w:left="0" w:firstLine="567"/>
        <w:rPr/>
      </w:pPr>
      <w:r>
        <w:rPr/>
        <w:t>Существующее положение – 7,7 кВт</w:t>
      </w:r>
      <w:r>
        <w:rPr>
          <w:rFonts w:cs="Calibri" w:ascii="Calibri" w:hAnsi="Calibri"/>
        </w:rPr>
        <w:t>∙</w:t>
      </w:r>
      <w:r>
        <w:rPr/>
        <w:t>ч/Гкал.</w:t>
      </w:r>
    </w:p>
    <w:p>
      <w:pPr>
        <w:pStyle w:val="Style92"/>
        <w:numPr>
          <w:ilvl w:val="0"/>
          <w:numId w:val="4"/>
        </w:numPr>
        <w:spacing w:lineRule="auto" w:line="276"/>
        <w:ind w:left="0" w:firstLine="567"/>
        <w:rPr/>
      </w:pPr>
      <w:r>
        <w:rPr/>
        <w:t>Перспективное положение – 7,0 кВт</w:t>
      </w:r>
      <w:r>
        <w:rPr>
          <w:rFonts w:cs="Calibri" w:ascii="Calibri" w:hAnsi="Calibri"/>
        </w:rPr>
        <w:t>∙</w:t>
      </w:r>
      <w:r>
        <w:rPr/>
        <w:t>ч/Гкал.</w:t>
      </w:r>
      <w:bookmarkStart w:id="219" w:name="OLE_LINK20"/>
      <w:bookmarkEnd w:id="219"/>
    </w:p>
    <w:p>
      <w:pPr>
        <w:pStyle w:val="A1"/>
        <w:rPr/>
      </w:pPr>
      <w:r>
        <w:rPr/>
        <w:t>8) доля отпуска тепловой энергии, осуществляемого потребителям по приборам учета, в общем объеме отпущенной тепловой энергии;</w:t>
      </w:r>
    </w:p>
    <w:p>
      <w:pPr>
        <w:pStyle w:val="Style92"/>
        <w:numPr>
          <w:ilvl w:val="0"/>
          <w:numId w:val="4"/>
        </w:numPr>
        <w:spacing w:lineRule="auto" w:line="276"/>
        <w:ind w:left="0" w:firstLine="567"/>
        <w:rPr/>
      </w:pPr>
      <w:r>
        <w:rPr/>
        <w:t>Существующее положение – 80,0%.</w:t>
      </w:r>
    </w:p>
    <w:p>
      <w:pPr>
        <w:pStyle w:val="Style92"/>
        <w:numPr>
          <w:ilvl w:val="0"/>
          <w:numId w:val="4"/>
        </w:numPr>
        <w:spacing w:lineRule="auto" w:line="276"/>
        <w:ind w:left="0" w:firstLine="567"/>
        <w:rPr/>
      </w:pPr>
      <w:r>
        <w:rPr/>
        <w:t>Перспективное положение – 100,0%.</w:t>
      </w:r>
    </w:p>
    <w:p>
      <w:pPr>
        <w:pStyle w:val="A1"/>
        <w:rPr/>
      </w:pPr>
      <w:r>
        <w:rPr/>
        <w:t>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Style92"/>
        <w:numPr>
          <w:ilvl w:val="0"/>
          <w:numId w:val="4"/>
        </w:numPr>
        <w:spacing w:lineRule="auto" w:line="276"/>
        <w:ind w:left="0" w:firstLine="567"/>
        <w:rPr/>
      </w:pPr>
      <w:r>
        <w:rPr/>
        <w:t>На год проведения актуализации – 0,0%.</w:t>
      </w:r>
    </w:p>
    <w:p>
      <w:pPr>
        <w:pStyle w:val="Style92"/>
        <w:numPr>
          <w:ilvl w:val="0"/>
          <w:numId w:val="4"/>
        </w:numPr>
        <w:spacing w:lineRule="auto" w:line="276"/>
        <w:ind w:left="0" w:firstLine="567"/>
        <w:rPr/>
      </w:pPr>
      <w:r>
        <w:rPr/>
        <w:t>На каждый последующий год после проведения актуализации – от 0 до 20,0%.</w:t>
      </w:r>
    </w:p>
    <w:p>
      <w:pPr>
        <w:pStyle w:val="148"/>
        <w:rPr/>
      </w:pPr>
      <w:bookmarkStart w:id="220" w:name="_Toc50093591"/>
      <w:bookmarkStart w:id="221" w:name="_Hlk80351601"/>
      <w:bookmarkEnd w:id="221"/>
      <w:r>
        <w:rPr/>
        <w:t>Раздел 15. Ценовые (тарифные) последствия</w:t>
      </w:r>
      <w:bookmarkEnd w:id="220"/>
    </w:p>
    <w:p>
      <w:pPr>
        <w:pStyle w:val="A1"/>
        <w:rPr/>
      </w:pPr>
      <w:bookmarkStart w:id="222" w:name="_Toc4372783211"/>
      <w:bookmarkStart w:id="223" w:name="_Toc4315696371"/>
      <w:bookmarkStart w:id="224" w:name="_Toc4303458661"/>
      <w:bookmarkStart w:id="225" w:name="_Toc4240421041"/>
      <w:bookmarkStart w:id="226" w:name="_Toc4235257181"/>
      <w:bookmarkStart w:id="227" w:name="_Toc4229285991"/>
      <w:bookmarkStart w:id="228" w:name="_Toc4167082411"/>
      <w:bookmarkStart w:id="229" w:name="_Toc4142748711"/>
      <w:bookmarkStart w:id="230" w:name="_Toc4077039591"/>
      <w:bookmarkStart w:id="231" w:name="_Toc4077031391"/>
      <w:bookmarkStart w:id="232" w:name="_Toc4076384951"/>
      <w:bookmarkEnd w:id="222"/>
      <w:bookmarkEnd w:id="223"/>
      <w:bookmarkEnd w:id="224"/>
      <w:bookmarkEnd w:id="225"/>
      <w:bookmarkEnd w:id="226"/>
      <w:bookmarkEnd w:id="227"/>
      <w:bookmarkEnd w:id="228"/>
      <w:bookmarkEnd w:id="229"/>
      <w:bookmarkEnd w:id="230"/>
      <w:bookmarkEnd w:id="231"/>
      <w:bookmarkEnd w:id="232"/>
      <w:r>
        <w:rPr/>
        <w:t xml:space="preserve">Расчет ценовых последствий для потребителей выполнен в соответствии с требованиями действующего законодательства: </w:t>
      </w:r>
    </w:p>
    <w:p>
      <w:pPr>
        <w:pStyle w:val="Style92"/>
        <w:numPr>
          <w:ilvl w:val="0"/>
          <w:numId w:val="4"/>
        </w:numPr>
        <w:spacing w:lineRule="auto" w:line="276"/>
        <w:ind w:left="0" w:firstLine="567"/>
        <w:rPr/>
      </w:pPr>
      <w:r>
        <w:rPr/>
        <w:t>Методические указания по расчету регулируемых цен (тарифов) в сфере теплоснабжения, утвержденные Приказом ФСТ России от 13.06.2013 г.</w:t>
        <w:br/>
        <w:t xml:space="preserve"> № 760-э;</w:t>
      </w:r>
    </w:p>
    <w:p>
      <w:pPr>
        <w:pStyle w:val="Style92"/>
        <w:numPr>
          <w:ilvl w:val="0"/>
          <w:numId w:val="4"/>
        </w:numPr>
        <w:spacing w:lineRule="auto" w:line="276"/>
        <w:ind w:left="0" w:firstLine="567"/>
        <w:rPr/>
      </w:pPr>
      <w:r>
        <w:rPr/>
        <w:t>Основы ценообразования в сфере теплоснабжения, утвержденные постановлением Правительства Российской Федерации от 22.10.2012 г. № 1075;</w:t>
      </w:r>
    </w:p>
    <w:p>
      <w:pPr>
        <w:pStyle w:val="Style92"/>
        <w:numPr>
          <w:ilvl w:val="0"/>
          <w:numId w:val="4"/>
        </w:numPr>
        <w:spacing w:lineRule="auto" w:line="276"/>
        <w:ind w:left="0" w:firstLine="567"/>
        <w:rPr/>
      </w:pPr>
      <w:r>
        <w:rPr/>
        <w:t>ФЗ № 190 от 27.07.2010 г. «О теплоснабжении»;</w:t>
      </w:r>
    </w:p>
    <w:p>
      <w:pPr>
        <w:pStyle w:val="A1"/>
        <w:rPr/>
      </w:pPr>
      <w:r>
        <w:rPr/>
        <w:t>Расчет ценовых последствий для потребителей выполнен для тарифа на тепловую энергию, поставляемую потребителям.</w:t>
      </w:r>
    </w:p>
    <w:p>
      <w:pPr>
        <w:pStyle w:val="A1"/>
        <w:rPr/>
      </w:pPr>
      <w:r>
        <w:rP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 </w:t>
      </w:r>
    </w:p>
    <w:p>
      <w:pPr>
        <w:pStyle w:val="A1"/>
        <w:rPr/>
      </w:pPr>
      <w:r>
        <w:rPr/>
        <w:t>Данный показатель отражает изменения постоянных и переменных затрат на производство, передачу и сбыт тепловой энергии потребителям. </w:t>
      </w:r>
    </w:p>
    <w:p>
      <w:pPr>
        <w:pStyle w:val="A1"/>
        <w:rPr/>
      </w:pPr>
      <w:r>
        <w:rPr/>
        <w:t>Расчеты ценовых последствий произведены с учетом следующих допущений:</w:t>
      </w:r>
    </w:p>
    <w:p>
      <w:pPr>
        <w:pStyle w:val="Style92"/>
        <w:numPr>
          <w:ilvl w:val="0"/>
          <w:numId w:val="4"/>
        </w:numPr>
        <w:spacing w:lineRule="auto" w:line="276"/>
        <w:ind w:left="0" w:firstLine="567"/>
        <w:rPr/>
      </w:pPr>
      <w:r>
        <w:rPr/>
        <w:t>за базу приняты тарифные решения 2020 года;</w:t>
      </w:r>
    </w:p>
    <w:p>
      <w:pPr>
        <w:pStyle w:val="Style92"/>
        <w:numPr>
          <w:ilvl w:val="0"/>
          <w:numId w:val="4"/>
        </w:numPr>
        <w:spacing w:lineRule="auto" w:line="276"/>
        <w:ind w:left="0" w:firstLine="567"/>
        <w:rPr/>
      </w:pPr>
      <w:r>
        <w:rPr/>
        <w:t>баланс тепловой энергии принят на уровне утвержденного на 2020 год;</w:t>
      </w:r>
    </w:p>
    <w:p>
      <w:pPr>
        <w:pStyle w:val="A1"/>
        <w:rPr/>
      </w:pPr>
      <w:r>
        <w:rPr/>
        <w:t>Средний тариф на теплоэнергию рассчитан с применением индексов-дефляторов из долгосрочного прогноза социально-экономического развития Российской Федерации (МЭР) на период до 2036 года от 28.11.2018 г.</w:t>
      </w:r>
    </w:p>
    <w:p>
      <w:pPr>
        <w:pStyle w:val="A1"/>
        <w:rPr/>
      </w:pPr>
      <w:r>
        <w:rPr/>
        <w:t xml:space="preserve">Для потребителей тепловой энергии городского округа ценовые последствия при реализации мероприятий по строительству, реконструкции и техническому перевооружению с 2020 по 2036 год будут выражены в увеличении тарифа на </w:t>
      </w:r>
      <w:r>
        <w:rPr>
          <w:lang w:val="en-US"/>
        </w:rPr>
        <w:t>85</w:t>
      </w:r>
      <w:r>
        <w:rPr/>
        <w:t>,</w:t>
      </w:r>
      <w:r>
        <w:rPr>
          <w:lang w:val="en-US"/>
        </w:rPr>
        <w:t>9</w:t>
      </w:r>
      <w:r>
        <w:rPr/>
        <w:t xml:space="preserve"> % за 1</w:t>
      </w:r>
      <w:r>
        <w:rPr>
          <w:lang w:val="en-US"/>
        </w:rPr>
        <w:t>5</w:t>
      </w:r>
      <w:r>
        <w:rPr/>
        <w:t xml:space="preserve"> лет, или усреднено 5,7 % в год.</w:t>
      </w:r>
    </w:p>
    <w:p>
      <w:pPr>
        <w:sectPr>
          <w:headerReference w:type="default" r:id="rId66"/>
          <w:footerReference w:type="default" r:id="rId67"/>
          <w:type w:val="nextPage"/>
          <w:pgSz w:w="11906" w:h="16838"/>
          <w:pgMar w:left="1134" w:right="567" w:header="1134" w:top="1693" w:footer="709" w:bottom="1134" w:gutter="0"/>
          <w:pgNumType w:fmt="decimal"/>
          <w:formProt w:val="false"/>
          <w:textDirection w:val="lrTb"/>
          <w:docGrid w:type="default" w:linePitch="360" w:charSpace="0"/>
        </w:sectPr>
        <w:pStyle w:val="A1"/>
        <w:rPr/>
      </w:pPr>
      <w:r>
        <w:rPr/>
        <w:t>Тарифные последствия для потребителей тепловой энергии, отпускаемой теплоснабжающими организациями, отражены в таблице</w:t>
      </w:r>
      <w:r>
        <w:rPr/>
        <w:fldChar w:fldCharType="begin"/>
      </w:r>
      <w:r>
        <w:rPr/>
        <w:instrText> REF _Ref533079424 \h </w:instrText>
      </w:r>
      <w:r>
        <w:rPr/>
        <w:fldChar w:fldCharType="separate"/>
      </w:r>
      <w:r>
        <w:rPr/>
      </w:r>
      <w:r>
        <w:rPr/>
        <w:fldChar w:fldCharType="end"/>
      </w:r>
      <w:bookmarkStart w:id="233" w:name="_Ref531351600"/>
      <w:r>
        <w:rPr/>
        <w:t>.</w:t>
      </w:r>
      <w:bookmarkStart w:id="234" w:name="_Ref533079424"/>
    </w:p>
    <w:p>
      <w:pPr>
        <w:pStyle w:val="Style119"/>
        <w:rPr/>
      </w:pPr>
      <w:r>
        <w:rPr/>
        <w:t xml:space="preserve">Таблица </w:t>
      </w:r>
      <w:r>
        <w:rPr/>
        <w:fldChar w:fldCharType="begin"/>
      </w:r>
      <w:r>
        <w:rPr/>
        <w:instrText> SEQ Таблица \* ARABIC </w:instrText>
      </w:r>
      <w:r>
        <w:rPr/>
        <w:fldChar w:fldCharType="separate"/>
      </w:r>
      <w:r>
        <w:rPr/>
        <w:t>26</w:t>
      </w:r>
      <w:r>
        <w:rPr/>
        <w:fldChar w:fldCharType="end"/>
      </w:r>
      <w:bookmarkEnd w:id="233"/>
      <w:bookmarkEnd w:id="234"/>
      <w:r>
        <w:rPr/>
        <w:t>. Перспективная динамика тарифов</w:t>
      </w:r>
    </w:p>
    <w:tbl>
      <w:tblPr>
        <w:tblW w:w="15015" w:type="dxa"/>
        <w:jc w:val="left"/>
        <w:tblInd w:w="0" w:type="dxa"/>
        <w:tblCellMar>
          <w:top w:w="0" w:type="dxa"/>
          <w:left w:w="108" w:type="dxa"/>
          <w:bottom w:w="0" w:type="dxa"/>
          <w:right w:w="108" w:type="dxa"/>
        </w:tblCellMar>
        <w:tblLook w:firstRow="1" w:noVBand="1" w:lastRow="0" w:firstColumn="1" w:lastColumn="0" w:noHBand="0" w:val="04a0"/>
      </w:tblPr>
      <w:tblGrid>
        <w:gridCol w:w="4815"/>
        <w:gridCol w:w="1440"/>
        <w:gridCol w:w="1300"/>
        <w:gridCol w:w="1300"/>
        <w:gridCol w:w="1283"/>
        <w:gridCol w:w="1142"/>
        <w:gridCol w:w="1241"/>
        <w:gridCol w:w="1360"/>
        <w:gridCol w:w="1132"/>
      </w:tblGrid>
      <w:tr>
        <w:trPr>
          <w:trHeight w:val="709"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Организация</w:t>
            </w:r>
          </w:p>
        </w:tc>
        <w:tc>
          <w:tcPr>
            <w:tcW w:w="10198" w:type="dxa"/>
            <w:gridSpan w:val="8"/>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Тариф для населения, с НДС</w:t>
            </w:r>
          </w:p>
        </w:tc>
      </w:tr>
      <w:tr>
        <w:trPr>
          <w:trHeight w:val="25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Предприятие (система теплоснабжения)</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 xml:space="preserve">2020                        </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2021</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2022</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2023</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2024</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2025</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2031</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2036</w:t>
            </w:r>
          </w:p>
        </w:tc>
      </w:tr>
      <w:tr>
        <w:trPr>
          <w:trHeight w:val="25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Муниципальное унитарное предприятие "Теплоснабжающая организация", г.Камышлов</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2493,04</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2581,86</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2691,35</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2808,48</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2935,53</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3062,20</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3777,72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4635,19</w:t>
            </w:r>
          </w:p>
        </w:tc>
      </w:tr>
      <w:tr>
        <w:trPr>
          <w:trHeight w:val="25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Акционерное общество "Главное управление жилищно-коммунального хозяйства", г.Москва</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2203,49</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2282,00</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2378,77</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2482,29</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2594,59</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2706,55</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3338,97</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4096,85</w:t>
            </w:r>
          </w:p>
        </w:tc>
      </w:tr>
      <w:tr>
        <w:trPr>
          <w:trHeight w:val="25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Открытое акционерное общество "Российские железные дороги" Свердловская дирекция по тепловодоснабжению - структурное подразделение Центральной дирекции по тепловодоснабжению - филиала ОАО "РЖД", г.Екатеринбург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1891,34</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1958,72</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2041,79</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2130,64</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2227,04</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2323,13</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2865,96</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3516,48</w:t>
            </w:r>
          </w:p>
        </w:tc>
      </w:tr>
      <w:tr>
        <w:trPr>
          <w:trHeight w:val="82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Общество с ограниченной ответственностью “Русская энергетика”, г. 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1912,092</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1980,22</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2064,19</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2154,02</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2251,47</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2348,62</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2897,41</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3555,06</w:t>
            </w:r>
          </w:p>
        </w:tc>
      </w:tr>
      <w:tr>
        <w:trPr>
          <w:trHeight w:val="765" w:hRule="atLeast"/>
        </w:trPr>
        <w:tc>
          <w:tcPr>
            <w:tcW w:w="4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Общество с ограниченной ответственностью "СтройКонсалтинг", г.Екатеринбург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pPr>
            <w:r>
              <w:rPr/>
              <w:t>2297,81</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2379,68</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2480,59</w:t>
            </w:r>
          </w:p>
        </w:tc>
        <w:tc>
          <w:tcPr>
            <w:tcW w:w="128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2588,54</w:t>
            </w:r>
          </w:p>
        </w:tc>
        <w:tc>
          <w:tcPr>
            <w:tcW w:w="114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2705,65</w:t>
            </w:r>
          </w:p>
        </w:tc>
        <w:tc>
          <w:tcPr>
            <w:tcW w:w="12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sz w:val="18"/>
                <w:szCs w:val="18"/>
              </w:rPr>
              <w:t>2822,40</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3481,89</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23"/>
              <w:rPr>
                <w:sz w:val="18"/>
                <w:szCs w:val="18"/>
              </w:rPr>
            </w:pPr>
            <w:r>
              <w:rPr>
                <w:color w:val="000000"/>
                <w:sz w:val="18"/>
                <w:szCs w:val="18"/>
              </w:rPr>
              <w:t>4272,21</w:t>
            </w:r>
            <w:bookmarkStart w:id="235" w:name="_Hlk8035179"/>
            <w:bookmarkEnd w:id="235"/>
          </w:p>
        </w:tc>
      </w:tr>
    </w:tbl>
    <w:p>
      <w:pPr>
        <w:sectPr>
          <w:headerReference w:type="default" r:id="rId68"/>
          <w:footerReference w:type="default" r:id="rId69"/>
          <w:type w:val="nextPage"/>
          <w:pgSz w:orient="landscape" w:w="16838" w:h="11906"/>
          <w:pgMar w:left="1134" w:right="1134" w:header="1134" w:top="1693" w:footer="0" w:bottom="567" w:gutter="0"/>
          <w:pgNumType w:fmt="decimal"/>
          <w:formProt w:val="false"/>
          <w:textDirection w:val="lrTb"/>
          <w:docGrid w:type="default" w:linePitch="360" w:charSpace="0"/>
        </w:sectPr>
      </w:pPr>
    </w:p>
    <w:p>
      <w:pPr>
        <w:pStyle w:val="A1"/>
        <w:ind w:hanging="0"/>
        <w:rPr/>
      </w:pPr>
      <w:r>
        <w:rPr/>
      </w:r>
    </w:p>
    <w:p>
      <w:pPr>
        <w:pStyle w:val="Style153"/>
        <w:widowControl/>
        <w:bidi w:val="0"/>
        <w:spacing w:lineRule="auto" w:line="240" w:before="0" w:after="0"/>
        <w:ind w:left="5272" w:right="0" w:hanging="0"/>
        <w:contextualSpacing/>
        <w:jc w:val="left"/>
        <w:rPr/>
      </w:pPr>
      <w:r>
        <w:rPr/>
        <w:t>Приложение № 2</w:t>
      </w:r>
    </w:p>
    <w:p>
      <w:pPr>
        <w:pStyle w:val="Style153"/>
        <w:widowControl/>
        <w:bidi w:val="0"/>
        <w:spacing w:lineRule="auto" w:line="240" w:before="0" w:after="0"/>
        <w:ind w:left="5272" w:right="0" w:hanging="0"/>
        <w:contextualSpacing/>
        <w:jc w:val="left"/>
        <w:rPr/>
      </w:pPr>
      <w:r>
        <w:rPr>
          <w:b/>
          <w:sz w:val="28"/>
          <w:szCs w:val="28"/>
        </w:rPr>
        <w:t>УТВЕРЖДЕН</w:t>
      </w:r>
    </w:p>
    <w:p>
      <w:pPr>
        <w:pStyle w:val="Style153"/>
        <w:widowControl/>
        <w:bidi w:val="0"/>
        <w:spacing w:lineRule="auto" w:line="240" w:before="0" w:after="0"/>
        <w:ind w:left="5272" w:right="0" w:hanging="0"/>
        <w:contextualSpacing/>
        <w:jc w:val="left"/>
        <w:rPr/>
      </w:pPr>
      <w:r>
        <w:rPr>
          <w:sz w:val="28"/>
          <w:szCs w:val="28"/>
        </w:rPr>
        <w:t>постановлением администрации</w:t>
      </w:r>
    </w:p>
    <w:p>
      <w:pPr>
        <w:pStyle w:val="Style153"/>
        <w:widowControl/>
        <w:bidi w:val="0"/>
        <w:spacing w:lineRule="auto" w:line="240" w:before="0" w:after="0"/>
        <w:ind w:left="5272" w:right="0" w:hanging="0"/>
        <w:contextualSpacing/>
        <w:jc w:val="left"/>
        <w:rPr/>
      </w:pPr>
      <w:r>
        <w:rPr>
          <w:sz w:val="28"/>
          <w:szCs w:val="28"/>
        </w:rPr>
        <w:t xml:space="preserve">Камышловского городского округа </w:t>
      </w:r>
    </w:p>
    <w:p>
      <w:pPr>
        <w:pStyle w:val="Style153"/>
        <w:widowControl/>
        <w:bidi w:val="0"/>
        <w:spacing w:lineRule="auto" w:line="240" w:before="0" w:after="0"/>
        <w:ind w:left="5272" w:right="0" w:hanging="0"/>
        <w:contextualSpacing/>
        <w:jc w:val="left"/>
        <w:rPr/>
      </w:pPr>
      <w:r>
        <w:rPr>
          <w:sz w:val="28"/>
          <w:szCs w:val="28"/>
        </w:rPr>
        <w:t xml:space="preserve">от 07.10.2020 года № 673 </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tabs>
          <w:tab w:val="clear" w:pos="709"/>
        </w:tabs>
        <w:suppressAutoHyphens w:val="true"/>
        <w:ind w:left="0" w:right="0" w:hanging="0"/>
        <w:jc w:val="center"/>
        <w:rPr/>
      </w:pPr>
      <w:r>
        <w:rPr>
          <w:sz w:val="28"/>
          <w:szCs w:val="28"/>
        </w:rPr>
        <w:t>Состав рабочей комиссии по проведению публичных слушаний по проекту актуализации схемы теплоснабжения Камышловского городского округа на период до 2036 года (актуализация на 2021 год)</w:t>
      </w:r>
    </w:p>
    <w:p>
      <w:pPr>
        <w:pStyle w:val="Normal"/>
        <w:jc w:val="center"/>
        <w:rPr>
          <w:sz w:val="28"/>
          <w:szCs w:val="28"/>
        </w:rPr>
      </w:pPr>
      <w:r>
        <w:rPr>
          <w:sz w:val="28"/>
          <w:szCs w:val="28"/>
        </w:rPr>
      </w:r>
    </w:p>
    <w:tbl>
      <w:tblPr>
        <w:tblW w:w="10205" w:type="dxa"/>
        <w:jc w:val="left"/>
        <w:tblInd w:w="0" w:type="dxa"/>
        <w:tblCellMar>
          <w:top w:w="0" w:type="dxa"/>
          <w:left w:w="108" w:type="dxa"/>
          <w:bottom w:w="0" w:type="dxa"/>
          <w:right w:w="108" w:type="dxa"/>
        </w:tblCellMar>
      </w:tblPr>
      <w:tblGrid>
        <w:gridCol w:w="5102"/>
        <w:gridCol w:w="5102"/>
      </w:tblGrid>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Половников Алексей Владимирович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Глава Камышловского городского округа – председатель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Бессонов Евгений Александрович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Первый заместитель главы администрации Камышловского городского округа – заместитель председателя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Потапова Ирина Дмитриевна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Главный специалист отдела жилищно-коммунального и городского хозяйства администрации Камышловского городского округа – секретарь комиссии</w:t>
            </w:r>
          </w:p>
        </w:tc>
      </w:tr>
      <w:tr>
        <w:trPr/>
        <w:tc>
          <w:tcPr>
            <w:tcW w:w="102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suppressAutoHyphens w:val="false"/>
              <w:bidi w:val="0"/>
              <w:spacing w:lineRule="auto" w:line="240" w:before="0" w:after="0"/>
              <w:ind w:left="0" w:right="0" w:hanging="0"/>
              <w:contextualSpacing/>
              <w:jc w:val="center"/>
              <w:rPr>
                <w:sz w:val="28"/>
                <w:szCs w:val="28"/>
              </w:rPr>
            </w:pPr>
            <w:r>
              <w:rPr>
                <w:sz w:val="28"/>
                <w:szCs w:val="28"/>
              </w:rPr>
              <w:t>Члены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Власова Елена Николаевна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Заместитель главы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Усова Оксана Андреевна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Начальник юридического отдела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Михайлова Елена Викторовна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 xml:space="preserve">Председатель комитета по управлению имуществом и земельным ресурсам администрации Камышловского городского округа </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Семенова Лариса Анатольевна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Начальник отдела жилищно-коммунального и городского хозяйства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Нифонтова Татьяна Валерьевна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Начальник отдела архитектуры и градостроительства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Скубко Эдуард Владимирович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Главный специалист отдела жилищно-коммунального и городского хозяйства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0" w:right="0" w:hanging="0"/>
              <w:contextualSpacing/>
              <w:rPr>
                <w:sz w:val="28"/>
                <w:szCs w:val="28"/>
              </w:rPr>
            </w:pPr>
            <w:r>
              <w:rPr>
                <w:sz w:val="28"/>
                <w:szCs w:val="28"/>
              </w:rPr>
              <w:t>Пьянкова Татьяна Владимировна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ind w:left="0" w:right="0" w:hanging="0"/>
              <w:contextualSpacing/>
              <w:jc w:val="both"/>
              <w:rPr>
                <w:sz w:val="28"/>
                <w:szCs w:val="28"/>
              </w:rPr>
            </w:pPr>
            <w:r>
              <w:rPr>
                <w:sz w:val="28"/>
                <w:szCs w:val="28"/>
              </w:rPr>
              <w:t>Ведущий специалист отдела жилищно-коммунального и городского хозяйства администрации Камышловского городского округа</w:t>
            </w:r>
          </w:p>
        </w:tc>
      </w:tr>
    </w:tbl>
    <w:p>
      <w:pPr>
        <w:pStyle w:val="Normal"/>
        <w:ind w:left="0" w:right="0" w:hanging="0"/>
        <w:rPr/>
      </w:pPr>
      <w:r>
        <w:rPr/>
      </w:r>
    </w:p>
    <w:sectPr>
      <w:headerReference w:type="default" r:id="rId70"/>
      <w:footerReference w:type="default" r:id="rId71"/>
      <w:type w:val="nextPage"/>
      <w:pgSz w:w="11906" w:h="16838"/>
      <w:pgMar w:left="1134" w:right="567" w:header="1134" w:top="1693"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Tahoma">
    <w:charset w:val="01"/>
    <w:family w:val="roman"/>
    <w:pitch w:val="default"/>
  </w:font>
  <w:font w:name="Arial">
    <w:charset w:val="01"/>
    <w:family w:val="roman"/>
    <w:pitch w:val="default"/>
  </w:font>
  <w:font w:name="Symbol">
    <w:charset w:val="01"/>
    <w:family w:val="roman"/>
    <w:pitch w:val="default"/>
  </w:font>
  <w:font w:name="Courier New">
    <w:charset w:val="01"/>
    <w:family w:val="roman"/>
    <w:pitch w:val="default"/>
  </w:font>
  <w:font w:name="Wingdings">
    <w:charset w:val="01"/>
    <w:family w:val="roman"/>
    <w:pitch w:val="default"/>
  </w:font>
  <w:font w:name="Franklin Gothic Book">
    <w:charset w:val="01"/>
    <w:family w:val="roman"/>
    <w:pitch w:val="default"/>
  </w:font>
  <w:font w:name="Times New Roman CYR">
    <w:charset w:val="01"/>
    <w:family w:val="roman"/>
    <w:pitch w:val="default"/>
  </w:font>
  <w:font w:name="Book Antiqua">
    <w:charset w:val="01"/>
    <w:family w:val="roman"/>
    <w:pitch w:val="default"/>
  </w:font>
  <w:font w:name="Arial Unicode MS">
    <w:charset w:val="01"/>
    <w:family w:val="roman"/>
    <w:pitch w:val="default"/>
  </w:font>
  <w:font w:name="Consolas">
    <w:charset w:val="01"/>
    <w:family w:val="roman"/>
    <w:pitch w:val="default"/>
  </w:font>
  <w:font w:name="Segoe UI">
    <w:charset w:val="01"/>
    <w:family w:val="roman"/>
    <w:pitch w:val="default"/>
  </w:font>
  <w:font w:name="Trebuchet MS">
    <w:charset w:val="01"/>
    <w:family w:val="roman"/>
    <w:pitch w:val="default"/>
  </w:font>
  <w:font w:name="Lucida Sans Unicode">
    <w:charset w:val="01"/>
    <w:family w:val="roman"/>
    <w:pitch w:val="default"/>
  </w:font>
  <w:font w:name="Verdana">
    <w:charset w:val="01"/>
    <w:family w:val="roman"/>
    <w:pitch w:val="default"/>
  </w:font>
  <w:font w:name="Liberation Serif">
    <w:altName w:val="Times New Roman"/>
    <w:charset w:val="01"/>
    <w:family w:val="roman"/>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03787849"/>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38194745"/>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89325127"/>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45637405"/>
    </w:sdtPr>
    <w:sdtContent>
      <w:p>
        <w:pPr>
          <w:pStyle w:val="Style71"/>
          <w:spacing w:before="0" w:after="200"/>
          <w:jc w:val="right"/>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04329185"/>
    </w:sdtPr>
    <w:sdtContent>
      <w:p>
        <w:pPr>
          <w:pStyle w:val="Style71"/>
          <w:jc w:val="right"/>
          <w:rPr/>
        </w:pPr>
        <w:r>
          <w:rPr/>
        </w:r>
      </w:p>
      <w:p>
        <w:pPr>
          <w:pStyle w:val="Style71"/>
          <w:spacing w:before="0" w:after="200"/>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28050374"/>
    </w:sdtPr>
    <w:sdtContent>
      <w:p>
        <w:pPr>
          <w:pStyle w:val="Style71"/>
          <w:spacing w:before="0" w:after="200"/>
          <w:jc w:val="righ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62029089"/>
    </w:sdtPr>
    <w:sdtContent>
      <w:p>
        <w:pPr>
          <w:pStyle w:val="Style71"/>
          <w:spacing w:before="0" w:after="200"/>
          <w:jc w:val="right"/>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52595480"/>
    </w:sdtPr>
    <w:sdtContent>
      <w:p>
        <w:pPr>
          <w:pStyle w:val="Style71"/>
          <w:spacing w:before="0" w:after="200"/>
          <w:jc w:val="right"/>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6035464"/>
    </w:sdtPr>
    <w:sdtContent>
      <w:p>
        <w:pPr>
          <w:pStyle w:val="Style71"/>
          <w:spacing w:before="0" w:after="200"/>
          <w:jc w:val="right"/>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4356974"/>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12477651"/>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15103447"/>
    </w:sdtPr>
    <w:sdtContent>
      <w:p>
        <w:pPr>
          <w:pStyle w:val="Style71"/>
          <w:spacing w:before="0" w:after="200"/>
          <w:jc w:val="right"/>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2620595"/>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13465634"/>
    </w:sdtPr>
    <w:sdtContent>
      <w:p>
        <w:pPr>
          <w:pStyle w:val="Style71"/>
          <w:jc w:val="right"/>
          <w:rPr/>
        </w:pPr>
        <w:r>
          <w:rPr/>
        </w:r>
      </w:p>
      <w:p>
        <w:pPr>
          <w:pStyle w:val="Style71"/>
          <w:tabs>
            <w:tab w:val="center" w:pos="4677" w:leader="none"/>
            <w:tab w:val="right" w:pos="9355" w:leader="none"/>
          </w:tabs>
          <w:spacing w:lineRule="auto" w:line="276" w:before="0" w:after="200"/>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13</w:t>
    </w:r>
    <w:r>
      <w:rPr/>
      <w:fldChar w:fldCharType="end"/>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87</w:t>
    </w:r>
    <w:r>
      <w:rPr/>
      <w:fldChar w:fldCharType="end"/>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91</w:t>
    </w:r>
    <w:r>
      <w:rPr/>
      <w:fldChar w:fldCharType="end"/>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88</w:t>
    </w:r>
    <w:r>
      <w:rPr/>
      <w:fldChar w:fldCharType="end"/>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92</w:t>
    </w:r>
    <w:r>
      <w:rPr/>
      <w:fldChar w:fldCharType="end"/>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99</w:t>
    </w:r>
    <w:r>
      <w:rPr/>
      <w:fldChar w:fldCharType="end"/>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100</w:t>
    </w:r>
    <w:r>
      <w:rPr/>
      <w:fldChar w:fldCharType="end"/>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102</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20</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37</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51</w:t>
    </w:r>
    <w:r>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53</w:t>
    </w:r>
    <w:r>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55</w:t>
    </w:r>
    <w:r>
      <w:rPr/>
      <w:fldChar w:fldCharType="end"/>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75</w:t>
    </w:r>
    <w:r>
      <w:rPr/>
      <w:fldChar w:fldCharType="end"/>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80</w:t>
    </w:r>
    <w:r>
      <w:rPr/>
      <w:fldChar w:fldCharType="end"/>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72"/>
      <w:jc w:val="center"/>
      <w:rPr/>
    </w:pPr>
    <w:r>
      <w:rPr/>
      <w:fldChar w:fldCharType="begin"/>
    </w:r>
    <w:r>
      <w:rPr/>
      <w:instrText> PAGE </w:instrText>
    </w:r>
    <w:r>
      <w:rPr/>
      <w:fldChar w:fldCharType="separate"/>
    </w:r>
    <w:r>
      <w:rPr/>
      <w:t>84</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87" w:hanging="360"/>
      </w:pPr>
      <w:rPr>
        <w:rFonts w:ascii="Symbol" w:hAnsi="Symbol" w:cs="Symbol" w:hint="default"/>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2">
    <w:lvl w:ilvl="0">
      <w:start w:val="1"/>
      <w:numFmt w:val="decimal"/>
      <w:lvlText w:val="%1."/>
      <w:lvlJc w:val="left"/>
      <w:pPr>
        <w:ind w:left="360" w:hanging="360"/>
      </w:pPr>
      <w:rPr>
        <w:sz w:val="24"/>
      </w:rPr>
    </w:lvl>
    <w:lvl w:ilvl="1">
      <w:start w:val="1"/>
      <w:numFmt w:val="decimal"/>
      <w:lvlText w:val="%1.%2."/>
      <w:lvlJc w:val="left"/>
      <w:pPr>
        <w:ind w:left="792" w:hanging="432"/>
      </w:pPr>
      <w:rPr>
        <w:sz w:val="28"/>
        <w:b/>
      </w:rPr>
    </w:lvl>
    <w:lvl w:ilvl="2">
      <w:start w:val="1"/>
      <w:numFmt w:val="decimal"/>
      <w:lvlText w:val="%1.%2.%3."/>
      <w:lvlJc w:val="left"/>
      <w:pPr>
        <w:ind w:left="1497"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lvl w:ilvl="0">
      <w:start w:val="1"/>
      <w:numFmt w:val="bullet"/>
      <w:lvlText w:val=""/>
      <w:lvlJc w:val="left"/>
      <w:pPr>
        <w:ind w:left="1429" w:hanging="360"/>
      </w:pPr>
      <w:rPr>
        <w:rFonts w:ascii="Symbol" w:hAnsi="Symbol" w:cs="Symbol" w:hint="default"/>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5">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0" w:semiHidden="1" w:unhideWhenUsed="1" w:qFormat="1"/>
    <w:lsdException w:name="toc 5" w:uiPriority="0" w:semiHidden="1" w:unhideWhenUsed="1" w:qFormat="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uiPriority="0"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uiPriority="0"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03d6"/>
    <w:pPr>
      <w:widowControl/>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1"/>
    <w:uiPriority w:val="9"/>
    <w:qFormat/>
    <w:rsid w:val="004f51d2"/>
    <w:pPr>
      <w:keepNext w:val="true"/>
      <w:spacing w:lineRule="auto" w:line="276" w:before="240" w:after="60"/>
      <w:outlineLvl w:val="0"/>
    </w:pPr>
    <w:rPr>
      <w:rFonts w:ascii="Cambria" w:hAnsi="Cambria"/>
      <w:b/>
      <w:bCs/>
      <w:kern w:val="2"/>
      <w:sz w:val="32"/>
      <w:szCs w:val="32"/>
      <w:lang w:eastAsia="en-US"/>
    </w:rPr>
  </w:style>
  <w:style w:type="paragraph" w:styleId="2">
    <w:name w:val="Heading 2"/>
    <w:basedOn w:val="Normal"/>
    <w:next w:val="Normal"/>
    <w:link w:val="21"/>
    <w:uiPriority w:val="9"/>
    <w:unhideWhenUsed/>
    <w:qFormat/>
    <w:rsid w:val="00a82087"/>
    <w:pPr>
      <w:keepNext w:val="true"/>
      <w:keepLines/>
      <w:spacing w:lineRule="auto" w:line="276" w:before="200" w:after="240"/>
      <w:ind w:firstLine="567"/>
      <w:jc w:val="both"/>
      <w:outlineLvl w:val="1"/>
    </w:pPr>
    <w:rPr>
      <w:rFonts w:eastAsia="" w:eastAsiaTheme="majorEastAsia"/>
      <w:b/>
      <w:bCs/>
      <w:sz w:val="26"/>
      <w:szCs w:val="26"/>
      <w:lang w:eastAsia="en-US"/>
    </w:rPr>
  </w:style>
  <w:style w:type="paragraph" w:styleId="3">
    <w:name w:val="Heading 3"/>
    <w:basedOn w:val="2"/>
    <w:next w:val="Normal"/>
    <w:link w:val="31"/>
    <w:unhideWhenUsed/>
    <w:qFormat/>
    <w:rsid w:val="00a82087"/>
    <w:pPr>
      <w:outlineLvl w:val="2"/>
    </w:pPr>
    <w:rPr>
      <w:i/>
      <w:sz w:val="28"/>
      <w:szCs w:val="28"/>
    </w:rPr>
  </w:style>
  <w:style w:type="paragraph" w:styleId="4">
    <w:name w:val="Heading 4"/>
    <w:basedOn w:val="1"/>
    <w:next w:val="Normal"/>
    <w:link w:val="41"/>
    <w:qFormat/>
    <w:rsid w:val="00ce6422"/>
    <w:pPr>
      <w:outlineLvl w:val="3"/>
    </w:pPr>
    <w:rPr/>
  </w:style>
  <w:style w:type="paragraph" w:styleId="5">
    <w:name w:val="Heading 5"/>
    <w:basedOn w:val="1"/>
    <w:next w:val="Normal"/>
    <w:link w:val="50"/>
    <w:qFormat/>
    <w:rsid w:val="00ce6422"/>
    <w:pPr>
      <w:keepLines/>
      <w:spacing w:lineRule="auto" w:line="240" w:before="240" w:after="360"/>
      <w:ind w:firstLine="567"/>
      <w:jc w:val="center"/>
      <w:outlineLvl w:val="4"/>
    </w:pPr>
    <w:rPr>
      <w:rFonts w:ascii="Times New Roman" w:hAnsi="Times New Roman"/>
      <w:kern w:val="0"/>
      <w:lang w:bidi="en-US"/>
    </w:rPr>
  </w:style>
  <w:style w:type="paragraph" w:styleId="6">
    <w:name w:val="Heading 6"/>
    <w:basedOn w:val="Normal"/>
    <w:next w:val="Normal"/>
    <w:link w:val="60"/>
    <w:qFormat/>
    <w:rsid w:val="001371ad"/>
    <w:pPr>
      <w:keepNext w:val="true"/>
      <w:keepLines/>
      <w:spacing w:lineRule="auto" w:line="276" w:before="200" w:after="0"/>
      <w:outlineLvl w:val="5"/>
    </w:pPr>
    <w:rPr>
      <w:rFonts w:ascii="Cambria" w:hAnsi="Cambria"/>
      <w:i/>
      <w:iCs/>
      <w:color w:val="243F60"/>
      <w:sz w:val="20"/>
      <w:szCs w:val="20"/>
      <w:lang w:val="x-none" w:eastAsia="x-none"/>
    </w:rPr>
  </w:style>
  <w:style w:type="paragraph" w:styleId="7">
    <w:name w:val="Heading 7"/>
    <w:basedOn w:val="Normal"/>
    <w:next w:val="Normal"/>
    <w:link w:val="70"/>
    <w:qFormat/>
    <w:rsid w:val="001371ad"/>
    <w:pPr>
      <w:keepNext w:val="true"/>
      <w:keepLines/>
      <w:spacing w:lineRule="auto" w:line="276" w:before="200" w:after="0"/>
      <w:outlineLvl w:val="6"/>
    </w:pPr>
    <w:rPr>
      <w:rFonts w:ascii="Cambria" w:hAnsi="Cambria"/>
      <w:i/>
      <w:iCs/>
      <w:color w:val="404040"/>
      <w:sz w:val="20"/>
      <w:szCs w:val="20"/>
      <w:lang w:val="x-none" w:eastAsia="x-none"/>
    </w:rPr>
  </w:style>
  <w:style w:type="paragraph" w:styleId="8">
    <w:name w:val="Heading 8"/>
    <w:basedOn w:val="Normal"/>
    <w:next w:val="Normal"/>
    <w:link w:val="80"/>
    <w:qFormat/>
    <w:rsid w:val="001371ad"/>
    <w:pPr>
      <w:keepNext w:val="true"/>
      <w:keepLines/>
      <w:spacing w:lineRule="auto" w:line="276" w:before="200" w:after="0"/>
      <w:outlineLvl w:val="7"/>
    </w:pPr>
    <w:rPr>
      <w:rFonts w:ascii="Cambria" w:hAnsi="Cambria"/>
      <w:color w:val="4F81BD"/>
      <w:sz w:val="20"/>
      <w:szCs w:val="20"/>
      <w:lang w:val="x-none" w:eastAsia="x-none"/>
    </w:rPr>
  </w:style>
  <w:style w:type="paragraph" w:styleId="9">
    <w:name w:val="Heading 9"/>
    <w:basedOn w:val="Normal"/>
    <w:next w:val="Normal"/>
    <w:link w:val="90"/>
    <w:qFormat/>
    <w:rsid w:val="001371ad"/>
    <w:pPr>
      <w:keepNext w:val="true"/>
      <w:keepLines/>
      <w:spacing w:lineRule="auto" w:line="276" w:before="200" w:after="0"/>
      <w:outlineLvl w:val="8"/>
    </w:pPr>
    <w:rPr>
      <w:rFonts w:ascii="Cambria" w:hAnsi="Cambria"/>
      <w:i/>
      <w:iCs/>
      <w:color w:val="404040"/>
      <w:sz w:val="20"/>
      <w:szCs w:val="20"/>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0"/>
    <w:uiPriority w:val="9"/>
    <w:qFormat/>
    <w:rsid w:val="004f51d2"/>
    <w:rPr>
      <w:rFonts w:ascii="Cambria" w:hAnsi="Cambria" w:eastAsia="Times New Roman" w:cs="Times New Roman"/>
      <w:b/>
      <w:bCs/>
      <w:kern w:val="2"/>
      <w:sz w:val="32"/>
      <w:szCs w:val="32"/>
    </w:rPr>
  </w:style>
  <w:style w:type="character" w:styleId="Style5" w:customStyle="1">
    <w:name w:val="Нижний колонтитул Знак"/>
    <w:basedOn w:val="DefaultParagraphFont"/>
    <w:link w:val="a9"/>
    <w:uiPriority w:val="99"/>
    <w:qFormat/>
    <w:rsid w:val="004f51d2"/>
    <w:rPr>
      <w:rFonts w:ascii="Times New Roman" w:hAnsi="Times New Roman" w:eastAsia="Calibri" w:cs="Times New Roman"/>
      <w:sz w:val="24"/>
      <w:lang w:val="x-none"/>
    </w:rPr>
  </w:style>
  <w:style w:type="character" w:styleId="Style6" w:customStyle="1">
    <w:name w:val="Текст выноски Знак"/>
    <w:basedOn w:val="DefaultParagraphFont"/>
    <w:link w:val="ab"/>
    <w:uiPriority w:val="99"/>
    <w:qFormat/>
    <w:rsid w:val="004f51d2"/>
    <w:rPr>
      <w:rFonts w:ascii="Tahoma" w:hAnsi="Tahoma" w:eastAsia="Calibri" w:cs="Tahoma"/>
      <w:sz w:val="16"/>
      <w:szCs w:val="16"/>
    </w:rPr>
  </w:style>
  <w:style w:type="character" w:styleId="21" w:customStyle="1">
    <w:name w:val="Заголовок 2 Знак"/>
    <w:basedOn w:val="DefaultParagraphFont"/>
    <w:link w:val="20"/>
    <w:uiPriority w:val="9"/>
    <w:qFormat/>
    <w:rsid w:val="00a82087"/>
    <w:rPr>
      <w:rFonts w:ascii="Times New Roman" w:hAnsi="Times New Roman" w:eastAsia="" w:cs="Times New Roman" w:eastAsiaTheme="majorEastAsia"/>
      <w:b/>
      <w:bCs/>
      <w:sz w:val="26"/>
      <w:szCs w:val="26"/>
    </w:rPr>
  </w:style>
  <w:style w:type="character" w:styleId="31" w:customStyle="1">
    <w:name w:val="Заголовок 3 Знак"/>
    <w:basedOn w:val="DefaultParagraphFont"/>
    <w:link w:val="30"/>
    <w:qFormat/>
    <w:rsid w:val="00a82087"/>
    <w:rPr>
      <w:rFonts w:ascii="Times New Roman" w:hAnsi="Times New Roman" w:eastAsia="" w:cs="Times New Roman" w:eastAsiaTheme="majorEastAsia"/>
      <w:b/>
      <w:bCs/>
      <w:i/>
      <w:sz w:val="28"/>
      <w:szCs w:val="28"/>
    </w:rPr>
  </w:style>
  <w:style w:type="character" w:styleId="Style7" w:customStyle="1">
    <w:name w:val="Верхний колонтитул Знак"/>
    <w:basedOn w:val="DefaultParagraphFont"/>
    <w:link w:val="af0"/>
    <w:qFormat/>
    <w:rsid w:val="008e656f"/>
    <w:rPr>
      <w:rFonts w:ascii="Times New Roman" w:hAnsi="Times New Roman" w:eastAsia="Calibri" w:cs="Times New Roman"/>
      <w:sz w:val="24"/>
    </w:rPr>
  </w:style>
  <w:style w:type="character" w:styleId="Style8" w:customStyle="1">
    <w:name w:val="Основной текст с отступом Знак"/>
    <w:basedOn w:val="DefaultParagraphFont"/>
    <w:link w:val="af2"/>
    <w:uiPriority w:val="99"/>
    <w:qFormat/>
    <w:rsid w:val="00ba4eac"/>
    <w:rPr>
      <w:rFonts w:ascii="Times New Roman" w:hAnsi="Times New Roman" w:eastAsia="Times New Roman" w:cs="Times New Roman"/>
      <w:sz w:val="28"/>
      <w:szCs w:val="24"/>
      <w:lang w:eastAsia="ru-RU"/>
    </w:rPr>
  </w:style>
  <w:style w:type="character" w:styleId="Annotationreference">
    <w:name w:val="annotation reference"/>
    <w:basedOn w:val="DefaultParagraphFont"/>
    <w:uiPriority w:val="99"/>
    <w:unhideWhenUsed/>
    <w:qFormat/>
    <w:rsid w:val="00514602"/>
    <w:rPr>
      <w:sz w:val="16"/>
      <w:szCs w:val="16"/>
    </w:rPr>
  </w:style>
  <w:style w:type="character" w:styleId="Style9" w:customStyle="1">
    <w:name w:val="Текст примечания Знак"/>
    <w:basedOn w:val="DefaultParagraphFont"/>
    <w:link w:val="af7"/>
    <w:uiPriority w:val="99"/>
    <w:qFormat/>
    <w:rsid w:val="00514602"/>
    <w:rPr>
      <w:rFonts w:ascii="Times New Roman" w:hAnsi="Times New Roman" w:eastAsia="Calibri" w:cs="Times New Roman"/>
      <w:sz w:val="20"/>
      <w:szCs w:val="20"/>
    </w:rPr>
  </w:style>
  <w:style w:type="character" w:styleId="Style10" w:customStyle="1">
    <w:name w:val="Тема примечания Знак"/>
    <w:basedOn w:val="Style9"/>
    <w:link w:val="af9"/>
    <w:uiPriority w:val="99"/>
    <w:qFormat/>
    <w:rsid w:val="00514602"/>
    <w:rPr>
      <w:rFonts w:ascii="Times New Roman" w:hAnsi="Times New Roman" w:eastAsia="Calibri" w:cs="Times New Roman"/>
      <w:b/>
      <w:bCs/>
      <w:sz w:val="20"/>
      <w:szCs w:val="20"/>
    </w:rPr>
  </w:style>
  <w:style w:type="character" w:styleId="Style11">
    <w:name w:val="Интернет-ссылка"/>
    <w:basedOn w:val="DefaultParagraphFont"/>
    <w:uiPriority w:val="99"/>
    <w:unhideWhenUsed/>
    <w:rsid w:val="003a4d6d"/>
    <w:rPr>
      <w:color w:val="0000FF" w:themeColor="hyperlink"/>
      <w:u w:val="single"/>
    </w:rPr>
  </w:style>
  <w:style w:type="character" w:styleId="Style12" w:customStyle="1">
    <w:name w:val="Название объекта Знак"/>
    <w:basedOn w:val="DefaultParagraphFont"/>
    <w:link w:val="afd"/>
    <w:qFormat/>
    <w:locked/>
    <w:rsid w:val="00594320"/>
    <w:rPr>
      <w:rFonts w:ascii="Arial" w:hAnsi="Arial" w:eastAsia="Microsoft YaHei" w:cs="Times New Roman"/>
      <w:b/>
      <w:bCs/>
      <w:color w:val="4F81BD"/>
      <w:spacing w:val="-5"/>
      <w:sz w:val="18"/>
      <w:szCs w:val="18"/>
    </w:rPr>
  </w:style>
  <w:style w:type="character" w:styleId="FollowedHyperlink">
    <w:name w:val="FollowedHyperlink"/>
    <w:uiPriority w:val="99"/>
    <w:unhideWhenUsed/>
    <w:qFormat/>
    <w:rsid w:val="001371ad"/>
    <w:rPr>
      <w:color w:val="800080"/>
      <w:u w:val="single"/>
    </w:rPr>
  </w:style>
  <w:style w:type="character" w:styleId="41" w:customStyle="1">
    <w:name w:val="Заголовок 4 Знак"/>
    <w:basedOn w:val="DefaultParagraphFont"/>
    <w:link w:val="40"/>
    <w:qFormat/>
    <w:rsid w:val="00ce6422"/>
    <w:rPr>
      <w:rFonts w:ascii="Cambria" w:hAnsi="Cambria" w:eastAsia="Times New Roman" w:cs="Times New Roman"/>
      <w:b/>
      <w:bCs/>
      <w:kern w:val="2"/>
      <w:sz w:val="32"/>
      <w:szCs w:val="32"/>
    </w:rPr>
  </w:style>
  <w:style w:type="character" w:styleId="51" w:customStyle="1">
    <w:name w:val="Заголовок 5 Знак"/>
    <w:basedOn w:val="DefaultParagraphFont"/>
    <w:link w:val="5"/>
    <w:qFormat/>
    <w:rsid w:val="00ce6422"/>
    <w:rPr>
      <w:rFonts w:ascii="Times New Roman" w:hAnsi="Times New Roman" w:eastAsia="Times New Roman" w:cs="Times New Roman"/>
      <w:b/>
      <w:bCs/>
      <w:sz w:val="32"/>
      <w:szCs w:val="32"/>
      <w:lang w:bidi="en-US"/>
    </w:rPr>
  </w:style>
  <w:style w:type="character" w:styleId="61" w:customStyle="1">
    <w:name w:val="Заголовок 6 Знак"/>
    <w:basedOn w:val="DefaultParagraphFont"/>
    <w:link w:val="6"/>
    <w:qFormat/>
    <w:rsid w:val="001371ad"/>
    <w:rPr>
      <w:rFonts w:ascii="Cambria" w:hAnsi="Cambria" w:eastAsia="Times New Roman" w:cs="Times New Roman"/>
      <w:i/>
      <w:iCs/>
      <w:color w:val="243F60"/>
      <w:sz w:val="20"/>
      <w:szCs w:val="20"/>
      <w:lang w:val="x-none" w:eastAsia="x-none"/>
    </w:rPr>
  </w:style>
  <w:style w:type="character" w:styleId="71" w:customStyle="1">
    <w:name w:val="Заголовок 7 Знак"/>
    <w:basedOn w:val="DefaultParagraphFont"/>
    <w:link w:val="7"/>
    <w:qFormat/>
    <w:rsid w:val="001371ad"/>
    <w:rPr>
      <w:rFonts w:ascii="Cambria" w:hAnsi="Cambria" w:eastAsia="Times New Roman" w:cs="Times New Roman"/>
      <w:i/>
      <w:iCs/>
      <w:color w:val="404040"/>
      <w:sz w:val="20"/>
      <w:szCs w:val="20"/>
      <w:lang w:val="x-none" w:eastAsia="x-none"/>
    </w:rPr>
  </w:style>
  <w:style w:type="character" w:styleId="81" w:customStyle="1">
    <w:name w:val="Заголовок 8 Знак"/>
    <w:basedOn w:val="DefaultParagraphFont"/>
    <w:link w:val="8"/>
    <w:qFormat/>
    <w:rsid w:val="001371ad"/>
    <w:rPr>
      <w:rFonts w:ascii="Cambria" w:hAnsi="Cambria" w:eastAsia="Times New Roman" w:cs="Times New Roman"/>
      <w:color w:val="4F81BD"/>
      <w:sz w:val="20"/>
      <w:szCs w:val="20"/>
      <w:lang w:val="x-none" w:eastAsia="x-none"/>
    </w:rPr>
  </w:style>
  <w:style w:type="character" w:styleId="91" w:customStyle="1">
    <w:name w:val="Заголовок 9 Знак"/>
    <w:basedOn w:val="DefaultParagraphFont"/>
    <w:link w:val="9"/>
    <w:qFormat/>
    <w:rsid w:val="001371ad"/>
    <w:rPr>
      <w:rFonts w:ascii="Cambria" w:hAnsi="Cambria" w:eastAsia="Times New Roman" w:cs="Times New Roman"/>
      <w:i/>
      <w:iCs/>
      <w:color w:val="404040"/>
      <w:sz w:val="20"/>
      <w:szCs w:val="20"/>
      <w:lang w:val="x-none" w:eastAsia="x-none"/>
    </w:rPr>
  </w:style>
  <w:style w:type="character" w:styleId="PlaceholderText1" w:customStyle="1">
    <w:name w:val="Placeholder Text1"/>
    <w:uiPriority w:val="99"/>
    <w:semiHidden/>
    <w:qFormat/>
    <w:rsid w:val="001371ad"/>
    <w:rPr>
      <w:color w:val="808080"/>
    </w:rPr>
  </w:style>
  <w:style w:type="character" w:styleId="FontStyle14" w:customStyle="1">
    <w:name w:val="Font Style14"/>
    <w:uiPriority w:val="99"/>
    <w:qFormat/>
    <w:rsid w:val="001371ad"/>
    <w:rPr>
      <w:rFonts w:ascii="Times New Roman" w:hAnsi="Times New Roman" w:cs="Times New Roman"/>
      <w:sz w:val="20"/>
      <w:szCs w:val="20"/>
    </w:rPr>
  </w:style>
  <w:style w:type="character" w:styleId="FontStyle22" w:customStyle="1">
    <w:name w:val="Font Style22"/>
    <w:qFormat/>
    <w:rsid w:val="001371ad"/>
    <w:rPr>
      <w:rFonts w:ascii="Times New Roman" w:hAnsi="Times New Roman" w:cs="Times New Roman"/>
      <w:sz w:val="20"/>
      <w:szCs w:val="20"/>
    </w:rPr>
  </w:style>
  <w:style w:type="character" w:styleId="Style13" w:customStyle="1">
    <w:name w:val="Заголовок Знак"/>
    <w:basedOn w:val="DefaultParagraphFont"/>
    <w:link w:val="aff0"/>
    <w:qFormat/>
    <w:rsid w:val="001371ad"/>
    <w:rPr>
      <w:rFonts w:ascii="Cambria" w:hAnsi="Cambria" w:eastAsia="Times New Roman" w:cs="Times New Roman"/>
      <w:color w:val="17365D"/>
      <w:spacing w:val="5"/>
      <w:kern w:val="2"/>
      <w:sz w:val="52"/>
      <w:szCs w:val="52"/>
      <w:lang w:val="x-none" w:eastAsia="x-none"/>
    </w:rPr>
  </w:style>
  <w:style w:type="character" w:styleId="Style14" w:customStyle="1">
    <w:name w:val="Подзаголовок Знак"/>
    <w:basedOn w:val="DefaultParagraphFont"/>
    <w:link w:val="aff2"/>
    <w:qFormat/>
    <w:rsid w:val="001371ad"/>
    <w:rPr>
      <w:rFonts w:ascii="Cambria" w:hAnsi="Cambria" w:eastAsia="Times New Roman" w:cs="Times New Roman"/>
      <w:i/>
      <w:iCs/>
      <w:color w:val="4F81BD"/>
      <w:spacing w:val="15"/>
      <w:sz w:val="24"/>
      <w:szCs w:val="24"/>
      <w:lang w:val="x-none" w:eastAsia="x-none"/>
    </w:rPr>
  </w:style>
  <w:style w:type="character" w:styleId="Strong">
    <w:name w:val="Strong"/>
    <w:qFormat/>
    <w:rsid w:val="001371ad"/>
    <w:rPr>
      <w:b/>
      <w:bCs/>
    </w:rPr>
  </w:style>
  <w:style w:type="character" w:styleId="Style15">
    <w:name w:val="Выделение"/>
    <w:qFormat/>
    <w:rsid w:val="001371ad"/>
    <w:rPr>
      <w:i/>
      <w:iCs/>
    </w:rPr>
  </w:style>
  <w:style w:type="character" w:styleId="QuoteChar" w:customStyle="1">
    <w:name w:val="Quote Char"/>
    <w:link w:val="Quote1"/>
    <w:uiPriority w:val="29"/>
    <w:qFormat/>
    <w:rsid w:val="001371ad"/>
    <w:rPr>
      <w:rFonts w:ascii="Calibri" w:hAnsi="Calibri" w:eastAsia="Times New Roman" w:cs="Times New Roman"/>
      <w:i/>
      <w:iCs/>
      <w:color w:val="000000"/>
      <w:sz w:val="20"/>
      <w:szCs w:val="20"/>
      <w:lang w:val="x-none" w:eastAsia="x-none"/>
    </w:rPr>
  </w:style>
  <w:style w:type="character" w:styleId="IntenseQuoteChar" w:customStyle="1">
    <w:name w:val="Intense Quote Char"/>
    <w:link w:val="IntenseQuote1"/>
    <w:uiPriority w:val="30"/>
    <w:qFormat/>
    <w:rsid w:val="001371ad"/>
    <w:rPr>
      <w:rFonts w:ascii="Calibri" w:hAnsi="Calibri" w:eastAsia="Times New Roman" w:cs="Times New Roman"/>
      <w:b/>
      <w:bCs/>
      <w:i/>
      <w:iCs/>
      <w:color w:val="4F81BD"/>
      <w:sz w:val="20"/>
      <w:szCs w:val="20"/>
      <w:lang w:val="x-none" w:eastAsia="x-none"/>
    </w:rPr>
  </w:style>
  <w:style w:type="character" w:styleId="12" w:customStyle="1">
    <w:name w:val="Слабое выделение1"/>
    <w:qFormat/>
    <w:rsid w:val="001371ad"/>
    <w:rPr>
      <w:i/>
      <w:iCs/>
      <w:color w:val="808080"/>
    </w:rPr>
  </w:style>
  <w:style w:type="character" w:styleId="13" w:customStyle="1">
    <w:name w:val="Сильное выделение1"/>
    <w:qFormat/>
    <w:rsid w:val="001371ad"/>
    <w:rPr>
      <w:b/>
      <w:bCs/>
      <w:i/>
      <w:iCs/>
      <w:color w:val="4F81BD"/>
    </w:rPr>
  </w:style>
  <w:style w:type="character" w:styleId="14" w:customStyle="1">
    <w:name w:val="Слабая ссылка1"/>
    <w:qFormat/>
    <w:rsid w:val="001371ad"/>
    <w:rPr>
      <w:smallCaps/>
      <w:color w:val="C0504D"/>
      <w:u w:val="single"/>
    </w:rPr>
  </w:style>
  <w:style w:type="character" w:styleId="15" w:customStyle="1">
    <w:name w:val="Сильная ссылка1"/>
    <w:qFormat/>
    <w:rsid w:val="001371ad"/>
    <w:rPr>
      <w:b/>
      <w:bCs/>
      <w:smallCaps/>
      <w:color w:val="C0504D"/>
      <w:spacing w:val="5"/>
      <w:u w:val="single"/>
    </w:rPr>
  </w:style>
  <w:style w:type="character" w:styleId="16" w:customStyle="1">
    <w:name w:val="Название книги1"/>
    <w:qFormat/>
    <w:rsid w:val="001371ad"/>
    <w:rPr>
      <w:b/>
      <w:bCs/>
      <w:smallCaps/>
      <w:spacing w:val="5"/>
    </w:rPr>
  </w:style>
  <w:style w:type="character" w:styleId="17" w:customStyle="1">
    <w:name w:val="Стиль1 Знак"/>
    <w:link w:val="1c"/>
    <w:qFormat/>
    <w:rsid w:val="001371ad"/>
    <w:rPr>
      <w:rFonts w:ascii="Times New Roman" w:hAnsi="Times New Roman" w:eastAsia="Times New Roman" w:cs="Times New Roman"/>
      <w:bCs/>
      <w:sz w:val="24"/>
      <w:szCs w:val="24"/>
      <w:lang w:val="x-none" w:bidi="en-US"/>
    </w:rPr>
  </w:style>
  <w:style w:type="character" w:styleId="WW8Num1z0" w:customStyle="1">
    <w:name w:val="WW8Num1z0"/>
    <w:qFormat/>
    <w:rsid w:val="001371ad"/>
    <w:rPr>
      <w:rFonts w:ascii="Symbol" w:hAnsi="Symbol"/>
    </w:rPr>
  </w:style>
  <w:style w:type="character" w:styleId="WW8Num1z2" w:customStyle="1">
    <w:name w:val="WW8Num1z2"/>
    <w:qFormat/>
    <w:rsid w:val="001371ad"/>
    <w:rPr>
      <w:rFonts w:ascii="Courier New" w:hAnsi="Courier New"/>
    </w:rPr>
  </w:style>
  <w:style w:type="character" w:styleId="WW8Num1z3" w:customStyle="1">
    <w:name w:val="WW8Num1z3"/>
    <w:qFormat/>
    <w:rsid w:val="001371ad"/>
    <w:rPr>
      <w:rFonts w:ascii="Wingdings" w:hAnsi="Wingdings"/>
    </w:rPr>
  </w:style>
  <w:style w:type="character" w:styleId="WW8Num2z0" w:customStyle="1">
    <w:name w:val="WW8Num2z0"/>
    <w:qFormat/>
    <w:rsid w:val="001371ad"/>
    <w:rPr>
      <w:rFonts w:ascii="Symbol" w:hAnsi="Symbol"/>
    </w:rPr>
  </w:style>
  <w:style w:type="character" w:styleId="WW8Num3z0" w:customStyle="1">
    <w:name w:val="WW8Num3z0"/>
    <w:qFormat/>
    <w:rsid w:val="001371ad"/>
    <w:rPr>
      <w:rFonts w:ascii="Symbol" w:hAnsi="Symbol"/>
    </w:rPr>
  </w:style>
  <w:style w:type="character" w:styleId="WW8Num3z1" w:customStyle="1">
    <w:name w:val="WW8Num3z1"/>
    <w:qFormat/>
    <w:rsid w:val="001371ad"/>
    <w:rPr>
      <w:rFonts w:ascii="Courier New" w:hAnsi="Courier New" w:cs="Courier New"/>
    </w:rPr>
  </w:style>
  <w:style w:type="character" w:styleId="WW8Num3z2" w:customStyle="1">
    <w:name w:val="WW8Num3z2"/>
    <w:qFormat/>
    <w:rsid w:val="001371ad"/>
    <w:rPr>
      <w:rFonts w:ascii="Wingdings" w:hAnsi="Wingdings"/>
    </w:rPr>
  </w:style>
  <w:style w:type="character" w:styleId="WW8Num4z0" w:customStyle="1">
    <w:name w:val="WW8Num4z0"/>
    <w:qFormat/>
    <w:rsid w:val="001371ad"/>
    <w:rPr>
      <w:rFonts w:ascii="Symbol" w:hAnsi="Symbol"/>
    </w:rPr>
  </w:style>
  <w:style w:type="character" w:styleId="WW8Num4z1" w:customStyle="1">
    <w:name w:val="WW8Num4z1"/>
    <w:qFormat/>
    <w:rsid w:val="001371ad"/>
    <w:rPr>
      <w:rFonts w:ascii="Courier New" w:hAnsi="Courier New" w:cs="Courier New"/>
    </w:rPr>
  </w:style>
  <w:style w:type="character" w:styleId="WW8Num4z2" w:customStyle="1">
    <w:name w:val="WW8Num4z2"/>
    <w:qFormat/>
    <w:rsid w:val="001371ad"/>
    <w:rPr>
      <w:rFonts w:ascii="Wingdings" w:hAnsi="Wingdings"/>
    </w:rPr>
  </w:style>
  <w:style w:type="character" w:styleId="WW8Num5z0" w:customStyle="1">
    <w:name w:val="WW8Num5z0"/>
    <w:qFormat/>
    <w:rsid w:val="001371ad"/>
    <w:rPr>
      <w:rFonts w:ascii="Symbol" w:hAnsi="Symbol"/>
    </w:rPr>
  </w:style>
  <w:style w:type="character" w:styleId="WW8Num5z1" w:customStyle="1">
    <w:name w:val="WW8Num5z1"/>
    <w:qFormat/>
    <w:rsid w:val="001371ad"/>
    <w:rPr>
      <w:rFonts w:ascii="Courier New" w:hAnsi="Courier New" w:cs="Courier New"/>
    </w:rPr>
  </w:style>
  <w:style w:type="character" w:styleId="WW8Num5z2" w:customStyle="1">
    <w:name w:val="WW8Num5z2"/>
    <w:qFormat/>
    <w:rsid w:val="001371ad"/>
    <w:rPr>
      <w:rFonts w:ascii="Wingdings" w:hAnsi="Wingdings"/>
    </w:rPr>
  </w:style>
  <w:style w:type="character" w:styleId="WW8Num6z0" w:customStyle="1">
    <w:name w:val="WW8Num6z0"/>
    <w:qFormat/>
    <w:rsid w:val="001371ad"/>
    <w:rPr>
      <w:rFonts w:ascii="Times New Roman" w:hAnsi="Times New Roman" w:cs="Times New Roman"/>
    </w:rPr>
  </w:style>
  <w:style w:type="character" w:styleId="WW8Num6z1" w:customStyle="1">
    <w:name w:val="WW8Num6z1"/>
    <w:qFormat/>
    <w:rsid w:val="001371ad"/>
    <w:rPr>
      <w:rFonts w:ascii="Courier New" w:hAnsi="Courier New" w:cs="Courier New"/>
    </w:rPr>
  </w:style>
  <w:style w:type="character" w:styleId="WW8Num6z2" w:customStyle="1">
    <w:name w:val="WW8Num6z2"/>
    <w:qFormat/>
    <w:rsid w:val="001371ad"/>
    <w:rPr>
      <w:rFonts w:ascii="Wingdings" w:hAnsi="Wingdings"/>
    </w:rPr>
  </w:style>
  <w:style w:type="character" w:styleId="WW8Num6z3" w:customStyle="1">
    <w:name w:val="WW8Num6z3"/>
    <w:qFormat/>
    <w:rsid w:val="001371ad"/>
    <w:rPr>
      <w:rFonts w:ascii="Symbol" w:hAnsi="Symbol"/>
    </w:rPr>
  </w:style>
  <w:style w:type="character" w:styleId="WW8Num7z0" w:customStyle="1">
    <w:name w:val="WW8Num7z0"/>
    <w:qFormat/>
    <w:rsid w:val="001371ad"/>
    <w:rPr>
      <w:rFonts w:ascii="Symbol" w:hAnsi="Symbol"/>
    </w:rPr>
  </w:style>
  <w:style w:type="character" w:styleId="WW8Num7z1" w:customStyle="1">
    <w:name w:val="WW8Num7z1"/>
    <w:qFormat/>
    <w:rsid w:val="001371ad"/>
    <w:rPr>
      <w:rFonts w:ascii="Courier New" w:hAnsi="Courier New" w:cs="Courier New"/>
    </w:rPr>
  </w:style>
  <w:style w:type="character" w:styleId="WW8Num7z2" w:customStyle="1">
    <w:name w:val="WW8Num7z2"/>
    <w:qFormat/>
    <w:rsid w:val="001371ad"/>
    <w:rPr>
      <w:rFonts w:ascii="Wingdings" w:hAnsi="Wingdings"/>
    </w:rPr>
  </w:style>
  <w:style w:type="character" w:styleId="WW8Num9z0" w:customStyle="1">
    <w:name w:val="WW8Num9z0"/>
    <w:qFormat/>
    <w:rsid w:val="001371ad"/>
    <w:rPr>
      <w:rFonts w:ascii="Times New Roman" w:hAnsi="Times New Roman" w:cs="Times New Roman"/>
    </w:rPr>
  </w:style>
  <w:style w:type="character" w:styleId="WW8Num9z1" w:customStyle="1">
    <w:name w:val="WW8Num9z1"/>
    <w:qFormat/>
    <w:rsid w:val="001371ad"/>
    <w:rPr>
      <w:rFonts w:ascii="Courier New" w:hAnsi="Courier New" w:cs="Courier New"/>
    </w:rPr>
  </w:style>
  <w:style w:type="character" w:styleId="WW8Num9z2" w:customStyle="1">
    <w:name w:val="WW8Num9z2"/>
    <w:qFormat/>
    <w:rsid w:val="001371ad"/>
    <w:rPr>
      <w:rFonts w:ascii="Wingdings" w:hAnsi="Wingdings"/>
    </w:rPr>
  </w:style>
  <w:style w:type="character" w:styleId="WW8Num9z3" w:customStyle="1">
    <w:name w:val="WW8Num9z3"/>
    <w:qFormat/>
    <w:rsid w:val="001371ad"/>
    <w:rPr>
      <w:rFonts w:ascii="Symbol" w:hAnsi="Symbol"/>
    </w:rPr>
  </w:style>
  <w:style w:type="character" w:styleId="WW8Num10z0" w:customStyle="1">
    <w:name w:val="WW8Num10z0"/>
    <w:qFormat/>
    <w:rsid w:val="001371ad"/>
    <w:rPr>
      <w:rFonts w:ascii="Symbol" w:hAnsi="Symbol"/>
    </w:rPr>
  </w:style>
  <w:style w:type="character" w:styleId="WW8Num10z1" w:customStyle="1">
    <w:name w:val="WW8Num10z1"/>
    <w:qFormat/>
    <w:rsid w:val="001371ad"/>
    <w:rPr>
      <w:rFonts w:ascii="Courier New" w:hAnsi="Courier New" w:cs="Courier New"/>
    </w:rPr>
  </w:style>
  <w:style w:type="character" w:styleId="WW8Num10z2" w:customStyle="1">
    <w:name w:val="WW8Num10z2"/>
    <w:qFormat/>
    <w:rsid w:val="001371ad"/>
    <w:rPr>
      <w:rFonts w:ascii="Wingdings" w:hAnsi="Wingdings"/>
    </w:rPr>
  </w:style>
  <w:style w:type="character" w:styleId="WW8Num11z0" w:customStyle="1">
    <w:name w:val="WW8Num11z0"/>
    <w:qFormat/>
    <w:rsid w:val="001371ad"/>
    <w:rPr>
      <w:rFonts w:ascii="Symbol" w:hAnsi="Symbol"/>
    </w:rPr>
  </w:style>
  <w:style w:type="character" w:styleId="WW8Num11z1" w:customStyle="1">
    <w:name w:val="WW8Num11z1"/>
    <w:qFormat/>
    <w:rsid w:val="001371ad"/>
    <w:rPr>
      <w:rFonts w:ascii="Courier New" w:hAnsi="Courier New" w:cs="Courier New"/>
    </w:rPr>
  </w:style>
  <w:style w:type="character" w:styleId="WW8Num11z2" w:customStyle="1">
    <w:name w:val="WW8Num11z2"/>
    <w:qFormat/>
    <w:rsid w:val="001371ad"/>
    <w:rPr>
      <w:rFonts w:ascii="Wingdings" w:hAnsi="Wingdings"/>
    </w:rPr>
  </w:style>
  <w:style w:type="character" w:styleId="WW8Num12z0" w:customStyle="1">
    <w:name w:val="WW8Num12z0"/>
    <w:qFormat/>
    <w:rsid w:val="001371ad"/>
    <w:rPr>
      <w:rFonts w:ascii="Times New Roman" w:hAnsi="Times New Roman" w:cs="Times New Roman"/>
    </w:rPr>
  </w:style>
  <w:style w:type="character" w:styleId="WW8Num12z1" w:customStyle="1">
    <w:name w:val="WW8Num12z1"/>
    <w:qFormat/>
    <w:rsid w:val="001371ad"/>
    <w:rPr>
      <w:rFonts w:ascii="Courier New" w:hAnsi="Courier New" w:cs="Courier New"/>
    </w:rPr>
  </w:style>
  <w:style w:type="character" w:styleId="WW8Num12z2" w:customStyle="1">
    <w:name w:val="WW8Num12z2"/>
    <w:qFormat/>
    <w:rsid w:val="001371ad"/>
    <w:rPr>
      <w:rFonts w:ascii="Wingdings" w:hAnsi="Wingdings"/>
    </w:rPr>
  </w:style>
  <w:style w:type="character" w:styleId="WW8Num12z3" w:customStyle="1">
    <w:name w:val="WW8Num12z3"/>
    <w:qFormat/>
    <w:rsid w:val="001371ad"/>
    <w:rPr>
      <w:rFonts w:ascii="Symbol" w:hAnsi="Symbol"/>
    </w:rPr>
  </w:style>
  <w:style w:type="character" w:styleId="WW8Num13z0" w:customStyle="1">
    <w:name w:val="WW8Num13z0"/>
    <w:qFormat/>
    <w:rsid w:val="001371ad"/>
    <w:rPr>
      <w:rFonts w:ascii="Symbol" w:hAnsi="Symbol"/>
    </w:rPr>
  </w:style>
  <w:style w:type="character" w:styleId="WW8Num13z1" w:customStyle="1">
    <w:name w:val="WW8Num13z1"/>
    <w:qFormat/>
    <w:rsid w:val="001371ad"/>
    <w:rPr>
      <w:rFonts w:ascii="Courier New" w:hAnsi="Courier New" w:cs="Courier New"/>
    </w:rPr>
  </w:style>
  <w:style w:type="character" w:styleId="WW8Num13z2" w:customStyle="1">
    <w:name w:val="WW8Num13z2"/>
    <w:qFormat/>
    <w:rsid w:val="001371ad"/>
    <w:rPr>
      <w:rFonts w:ascii="Wingdings" w:hAnsi="Wingdings"/>
    </w:rPr>
  </w:style>
  <w:style w:type="character" w:styleId="WW8Num14z0" w:customStyle="1">
    <w:name w:val="WW8Num14z0"/>
    <w:qFormat/>
    <w:rsid w:val="001371ad"/>
    <w:rPr>
      <w:rFonts w:ascii="Symbol" w:hAnsi="Symbol"/>
    </w:rPr>
  </w:style>
  <w:style w:type="character" w:styleId="WW8Num14z1" w:customStyle="1">
    <w:name w:val="WW8Num14z1"/>
    <w:qFormat/>
    <w:rsid w:val="001371ad"/>
    <w:rPr>
      <w:rFonts w:ascii="Courier New" w:hAnsi="Courier New" w:cs="Courier New"/>
    </w:rPr>
  </w:style>
  <w:style w:type="character" w:styleId="WW8Num14z2" w:customStyle="1">
    <w:name w:val="WW8Num14z2"/>
    <w:qFormat/>
    <w:rsid w:val="001371ad"/>
    <w:rPr>
      <w:rFonts w:ascii="Wingdings" w:hAnsi="Wingdings"/>
    </w:rPr>
  </w:style>
  <w:style w:type="character" w:styleId="WW8Num15z0" w:customStyle="1">
    <w:name w:val="WW8Num15z0"/>
    <w:qFormat/>
    <w:rsid w:val="001371ad"/>
    <w:rPr>
      <w:rFonts w:ascii="Symbol" w:hAnsi="Symbol"/>
    </w:rPr>
  </w:style>
  <w:style w:type="character" w:styleId="WW8Num15z1" w:customStyle="1">
    <w:name w:val="WW8Num15z1"/>
    <w:qFormat/>
    <w:rsid w:val="001371ad"/>
    <w:rPr>
      <w:rFonts w:ascii="Courier New" w:hAnsi="Courier New" w:cs="Courier New"/>
    </w:rPr>
  </w:style>
  <w:style w:type="character" w:styleId="WW8Num15z2" w:customStyle="1">
    <w:name w:val="WW8Num15z2"/>
    <w:qFormat/>
    <w:rsid w:val="001371ad"/>
    <w:rPr>
      <w:rFonts w:ascii="Wingdings" w:hAnsi="Wingdings"/>
    </w:rPr>
  </w:style>
  <w:style w:type="character" w:styleId="WW8Num16z0" w:customStyle="1">
    <w:name w:val="WW8Num16z0"/>
    <w:qFormat/>
    <w:rsid w:val="001371ad"/>
    <w:rPr>
      <w:rFonts w:ascii="Times New Roman" w:hAnsi="Times New Roman" w:cs="Times New Roman"/>
    </w:rPr>
  </w:style>
  <w:style w:type="character" w:styleId="WW8Num16z1" w:customStyle="1">
    <w:name w:val="WW8Num16z1"/>
    <w:qFormat/>
    <w:rsid w:val="001371ad"/>
    <w:rPr>
      <w:rFonts w:ascii="Courier New" w:hAnsi="Courier New" w:cs="Courier New"/>
    </w:rPr>
  </w:style>
  <w:style w:type="character" w:styleId="WW8Num16z2" w:customStyle="1">
    <w:name w:val="WW8Num16z2"/>
    <w:qFormat/>
    <w:rsid w:val="001371ad"/>
    <w:rPr>
      <w:rFonts w:ascii="Wingdings" w:hAnsi="Wingdings"/>
    </w:rPr>
  </w:style>
  <w:style w:type="character" w:styleId="WW8Num16z3" w:customStyle="1">
    <w:name w:val="WW8Num16z3"/>
    <w:qFormat/>
    <w:rsid w:val="001371ad"/>
    <w:rPr>
      <w:rFonts w:ascii="Symbol" w:hAnsi="Symbol"/>
    </w:rPr>
  </w:style>
  <w:style w:type="character" w:styleId="WW8Num19z0" w:customStyle="1">
    <w:name w:val="WW8Num19z0"/>
    <w:qFormat/>
    <w:rsid w:val="001371ad"/>
    <w:rPr>
      <w:rFonts w:ascii="Times New Roman" w:hAnsi="Times New Roman" w:cs="Times New Roman"/>
    </w:rPr>
  </w:style>
  <w:style w:type="character" w:styleId="WW8Num19z1" w:customStyle="1">
    <w:name w:val="WW8Num19z1"/>
    <w:qFormat/>
    <w:rsid w:val="001371ad"/>
    <w:rPr>
      <w:rFonts w:ascii="Courier New" w:hAnsi="Courier New" w:cs="Courier New"/>
    </w:rPr>
  </w:style>
  <w:style w:type="character" w:styleId="WW8Num19z2" w:customStyle="1">
    <w:name w:val="WW8Num19z2"/>
    <w:qFormat/>
    <w:rsid w:val="001371ad"/>
    <w:rPr>
      <w:rFonts w:ascii="Wingdings" w:hAnsi="Wingdings"/>
    </w:rPr>
  </w:style>
  <w:style w:type="character" w:styleId="WW8Num19z3" w:customStyle="1">
    <w:name w:val="WW8Num19z3"/>
    <w:qFormat/>
    <w:rsid w:val="001371ad"/>
    <w:rPr>
      <w:rFonts w:ascii="Symbol" w:hAnsi="Symbol"/>
    </w:rPr>
  </w:style>
  <w:style w:type="character" w:styleId="WW8Num20z0" w:customStyle="1">
    <w:name w:val="WW8Num20z0"/>
    <w:qFormat/>
    <w:rsid w:val="001371ad"/>
    <w:rPr>
      <w:rFonts w:ascii="Symbol" w:hAnsi="Symbol"/>
    </w:rPr>
  </w:style>
  <w:style w:type="character" w:styleId="WW8Num20z1" w:customStyle="1">
    <w:name w:val="WW8Num20z1"/>
    <w:qFormat/>
    <w:rsid w:val="001371ad"/>
    <w:rPr>
      <w:rFonts w:ascii="Courier New" w:hAnsi="Courier New" w:cs="Courier New"/>
    </w:rPr>
  </w:style>
  <w:style w:type="character" w:styleId="WW8Num20z2" w:customStyle="1">
    <w:name w:val="WW8Num20z2"/>
    <w:qFormat/>
    <w:rsid w:val="001371ad"/>
    <w:rPr>
      <w:rFonts w:ascii="Wingdings" w:hAnsi="Wingdings"/>
    </w:rPr>
  </w:style>
  <w:style w:type="character" w:styleId="WW8Num21z0" w:customStyle="1">
    <w:name w:val="WW8Num21z0"/>
    <w:qFormat/>
    <w:rsid w:val="001371ad"/>
    <w:rPr>
      <w:rFonts w:ascii="Times New Roman" w:hAnsi="Times New Roman" w:cs="Times New Roman"/>
    </w:rPr>
  </w:style>
  <w:style w:type="character" w:styleId="WW8Num21z1" w:customStyle="1">
    <w:name w:val="WW8Num21z1"/>
    <w:qFormat/>
    <w:rsid w:val="001371ad"/>
    <w:rPr>
      <w:rFonts w:ascii="Courier New" w:hAnsi="Courier New" w:cs="Courier New"/>
    </w:rPr>
  </w:style>
  <w:style w:type="character" w:styleId="WW8Num21z2" w:customStyle="1">
    <w:name w:val="WW8Num21z2"/>
    <w:qFormat/>
    <w:rsid w:val="001371ad"/>
    <w:rPr>
      <w:rFonts w:ascii="Wingdings" w:hAnsi="Wingdings"/>
    </w:rPr>
  </w:style>
  <w:style w:type="character" w:styleId="WW8Num21z3" w:customStyle="1">
    <w:name w:val="WW8Num21z3"/>
    <w:qFormat/>
    <w:rsid w:val="001371ad"/>
    <w:rPr>
      <w:rFonts w:ascii="Symbol" w:hAnsi="Symbol"/>
    </w:rPr>
  </w:style>
  <w:style w:type="character" w:styleId="WW8Num22z0" w:customStyle="1">
    <w:name w:val="WW8Num22z0"/>
    <w:qFormat/>
    <w:rsid w:val="001371ad"/>
    <w:rPr>
      <w:rFonts w:ascii="Symbol" w:hAnsi="Symbol"/>
    </w:rPr>
  </w:style>
  <w:style w:type="character" w:styleId="WW8Num22z1" w:customStyle="1">
    <w:name w:val="WW8Num22z1"/>
    <w:qFormat/>
    <w:rsid w:val="001371ad"/>
    <w:rPr>
      <w:rFonts w:ascii="Courier New" w:hAnsi="Courier New" w:cs="Courier New"/>
    </w:rPr>
  </w:style>
  <w:style w:type="character" w:styleId="WW8Num22z2" w:customStyle="1">
    <w:name w:val="WW8Num22z2"/>
    <w:qFormat/>
    <w:rsid w:val="001371ad"/>
    <w:rPr>
      <w:rFonts w:ascii="Wingdings" w:hAnsi="Wingdings"/>
    </w:rPr>
  </w:style>
  <w:style w:type="character" w:styleId="18" w:customStyle="1">
    <w:name w:val="Основной шрифт абзаца1"/>
    <w:qFormat/>
    <w:rsid w:val="001371ad"/>
    <w:rPr/>
  </w:style>
  <w:style w:type="character" w:styleId="19" w:customStyle="1">
    <w:name w:val="Замещающий текст1"/>
    <w:qFormat/>
    <w:rsid w:val="001371ad"/>
    <w:rPr>
      <w:color w:val="808080"/>
    </w:rPr>
  </w:style>
  <w:style w:type="character" w:styleId="110" w:customStyle="1">
    <w:name w:val="Цветная сетка - Акцент 1 Знак"/>
    <w:qFormat/>
    <w:rsid w:val="001371ad"/>
    <w:rPr>
      <w:i/>
      <w:iCs/>
      <w:color w:val="000000"/>
    </w:rPr>
  </w:style>
  <w:style w:type="character" w:styleId="22" w:customStyle="1">
    <w:name w:val="Светлая заливка - Акцент 2 Знак"/>
    <w:qFormat/>
    <w:rsid w:val="001371ad"/>
    <w:rPr>
      <w:b/>
      <w:bCs/>
      <w:i/>
      <w:iCs/>
      <w:color w:val="4F81BD"/>
    </w:rPr>
  </w:style>
  <w:style w:type="character" w:styleId="Style16" w:customStyle="1">
    <w:name w:val="Основной текст Знак"/>
    <w:basedOn w:val="DefaultParagraphFont"/>
    <w:link w:val="aff6"/>
    <w:qFormat/>
    <w:rsid w:val="001371ad"/>
    <w:rPr>
      <w:rFonts w:ascii="Calibri" w:hAnsi="Calibri" w:eastAsia="Times New Roman" w:cs="Calibri"/>
      <w:lang w:val="en-US" w:bidi="en-US"/>
    </w:rPr>
  </w:style>
  <w:style w:type="character" w:styleId="52" w:customStyle="1">
    <w:name w:val="Знак Знак5"/>
    <w:qFormat/>
    <w:rsid w:val="001371ad"/>
    <w:rPr>
      <w:rFonts w:ascii="Calibri" w:hAnsi="Calibri" w:cs="Calibri"/>
      <w:sz w:val="22"/>
      <w:szCs w:val="22"/>
      <w:lang w:val="en-US" w:eastAsia="en-US" w:bidi="en-US"/>
    </w:rPr>
  </w:style>
  <w:style w:type="character" w:styleId="42" w:customStyle="1">
    <w:name w:val="Знак Знак4"/>
    <w:qFormat/>
    <w:rsid w:val="001371ad"/>
    <w:rPr>
      <w:rFonts w:ascii="Tahoma" w:hAnsi="Tahoma" w:cs="Calibri"/>
      <w:sz w:val="16"/>
      <w:szCs w:val="16"/>
      <w:lang w:eastAsia="ar-SA"/>
    </w:rPr>
  </w:style>
  <w:style w:type="character" w:styleId="32" w:customStyle="1">
    <w:name w:val="Знак Знак3"/>
    <w:qFormat/>
    <w:rsid w:val="001371ad"/>
    <w:rPr>
      <w:rFonts w:ascii="Calibri" w:hAnsi="Calibri" w:cs="Calibri"/>
      <w:sz w:val="22"/>
      <w:szCs w:val="22"/>
      <w:lang w:eastAsia="ar-SA" w:bidi="ar-SA"/>
    </w:rPr>
  </w:style>
  <w:style w:type="character" w:styleId="23" w:customStyle="1">
    <w:name w:val="Знак Знак2"/>
    <w:qFormat/>
    <w:rsid w:val="001371ad"/>
    <w:rPr>
      <w:rFonts w:ascii="Calibri" w:hAnsi="Calibri" w:cs="Calibri"/>
      <w:sz w:val="22"/>
      <w:szCs w:val="22"/>
      <w:lang w:eastAsia="ar-SA" w:bidi="ar-SA"/>
    </w:rPr>
  </w:style>
  <w:style w:type="character" w:styleId="111" w:customStyle="1">
    <w:name w:val="Знак Знак1"/>
    <w:qFormat/>
    <w:rsid w:val="001371ad"/>
    <w:rPr>
      <w:rFonts w:ascii="Cambria" w:hAnsi="Cambria" w:cs="Calibri"/>
      <w:color w:val="17365D"/>
      <w:spacing w:val="5"/>
      <w:kern w:val="2"/>
      <w:sz w:val="52"/>
      <w:szCs w:val="52"/>
      <w:lang w:eastAsia="ar-SA"/>
    </w:rPr>
  </w:style>
  <w:style w:type="character" w:styleId="Style17" w:customStyle="1">
    <w:name w:val="Текст концевой сноски Знак"/>
    <w:basedOn w:val="DefaultParagraphFont"/>
    <w:link w:val="affd"/>
    <w:qFormat/>
    <w:rsid w:val="001371ad"/>
    <w:rPr>
      <w:rFonts w:ascii="Calibri" w:hAnsi="Calibri" w:eastAsia="Times New Roman" w:cs="Calibri"/>
      <w:sz w:val="20"/>
      <w:szCs w:val="20"/>
      <w:lang w:val="en-US" w:bidi="en-US"/>
    </w:rPr>
  </w:style>
  <w:style w:type="character" w:styleId="Style18">
    <w:name w:val="Привязка концевой сноски"/>
    <w:rPr>
      <w:vertAlign w:val="superscript"/>
    </w:rPr>
  </w:style>
  <w:style w:type="character" w:styleId="EndnoteCharacters">
    <w:name w:val="Endnote Characters"/>
    <w:qFormat/>
    <w:rsid w:val="001371ad"/>
    <w:rPr>
      <w:vertAlign w:val="superscript"/>
    </w:rPr>
  </w:style>
  <w:style w:type="character" w:styleId="112" w:customStyle="1">
    <w:name w:val="Текст выноски Знак1"/>
    <w:qFormat/>
    <w:rsid w:val="001371ad"/>
    <w:rPr>
      <w:rFonts w:ascii="Tahoma" w:hAnsi="Tahoma" w:eastAsia="Times New Roman" w:cs="Times New Roman"/>
      <w:sz w:val="16"/>
      <w:szCs w:val="16"/>
      <w:lang w:eastAsia="ar-SA"/>
    </w:rPr>
  </w:style>
  <w:style w:type="character" w:styleId="113" w:customStyle="1">
    <w:name w:val="Верхний колонтитул Знак1"/>
    <w:qFormat/>
    <w:rsid w:val="001371ad"/>
    <w:rPr>
      <w:rFonts w:ascii="Calibri" w:hAnsi="Calibri" w:eastAsia="Times New Roman" w:cs="Calibri"/>
      <w:lang w:eastAsia="ar-SA"/>
    </w:rPr>
  </w:style>
  <w:style w:type="character" w:styleId="114" w:customStyle="1">
    <w:name w:val="Нижний колонтитул Знак1"/>
    <w:qFormat/>
    <w:rsid w:val="001371ad"/>
    <w:rPr>
      <w:rFonts w:ascii="Calibri" w:hAnsi="Calibri" w:eastAsia="Times New Roman" w:cs="Calibri"/>
      <w:lang w:eastAsia="ar-SA"/>
    </w:rPr>
  </w:style>
  <w:style w:type="character" w:styleId="115" w:customStyle="1">
    <w:name w:val="Название Знак1"/>
    <w:qFormat/>
    <w:rsid w:val="001371ad"/>
    <w:rPr>
      <w:rFonts w:ascii="Cambria" w:hAnsi="Cambria" w:eastAsia="Times New Roman" w:cs="Times New Roman"/>
      <w:color w:val="17365D"/>
      <w:spacing w:val="5"/>
      <w:kern w:val="2"/>
      <w:sz w:val="52"/>
      <w:szCs w:val="52"/>
      <w:lang w:eastAsia="ar-SA"/>
    </w:rPr>
  </w:style>
  <w:style w:type="character" w:styleId="116" w:customStyle="1">
    <w:name w:val="Подзаголовок Знак1"/>
    <w:qFormat/>
    <w:rsid w:val="001371ad"/>
    <w:rPr>
      <w:rFonts w:ascii="Cambria" w:hAnsi="Cambria" w:eastAsia="Times New Roman" w:cs="Times New Roman"/>
      <w:i/>
      <w:iCs/>
      <w:color w:val="4F81BD"/>
      <w:spacing w:val="15"/>
      <w:sz w:val="24"/>
      <w:szCs w:val="24"/>
      <w:lang w:eastAsia="ar-SA"/>
    </w:rPr>
  </w:style>
  <w:style w:type="character" w:styleId="24" w:customStyle="1">
    <w:name w:val="Замещающий текст2"/>
    <w:qFormat/>
    <w:rsid w:val="001371ad"/>
    <w:rPr>
      <w:color w:val="808080"/>
    </w:rPr>
  </w:style>
  <w:style w:type="character" w:styleId="25" w:customStyle="1">
    <w:name w:val="Слабое выделение2"/>
    <w:qFormat/>
    <w:rsid w:val="001371ad"/>
    <w:rPr>
      <w:i/>
      <w:iCs/>
      <w:color w:val="808080"/>
    </w:rPr>
  </w:style>
  <w:style w:type="character" w:styleId="26" w:customStyle="1">
    <w:name w:val="Сильное выделение2"/>
    <w:qFormat/>
    <w:rsid w:val="001371ad"/>
    <w:rPr>
      <w:b/>
      <w:bCs/>
      <w:i/>
      <w:iCs/>
      <w:color w:val="4F81BD"/>
    </w:rPr>
  </w:style>
  <w:style w:type="character" w:styleId="27" w:customStyle="1">
    <w:name w:val="Слабая ссылка2"/>
    <w:qFormat/>
    <w:rsid w:val="001371ad"/>
    <w:rPr>
      <w:smallCaps/>
      <w:color w:val="C0504D"/>
      <w:u w:val="single"/>
    </w:rPr>
  </w:style>
  <w:style w:type="character" w:styleId="28" w:customStyle="1">
    <w:name w:val="Сильная ссылка2"/>
    <w:qFormat/>
    <w:rsid w:val="001371ad"/>
    <w:rPr>
      <w:b/>
      <w:bCs/>
      <w:smallCaps/>
      <w:color w:val="C0504D"/>
      <w:spacing w:val="5"/>
      <w:u w:val="single"/>
    </w:rPr>
  </w:style>
  <w:style w:type="character" w:styleId="29" w:customStyle="1">
    <w:name w:val="Название книги2"/>
    <w:qFormat/>
    <w:rsid w:val="001371ad"/>
    <w:rPr>
      <w:b/>
      <w:bCs/>
      <w:smallCaps/>
      <w:spacing w:val="5"/>
    </w:rPr>
  </w:style>
  <w:style w:type="character" w:styleId="Pagenumber">
    <w:name w:val="page number"/>
    <w:qFormat/>
    <w:rsid w:val="001371ad"/>
    <w:rPr/>
  </w:style>
  <w:style w:type="character" w:styleId="Appleconvertedspace" w:customStyle="1">
    <w:name w:val="apple-converted-space"/>
    <w:basedOn w:val="DefaultParagraphFont"/>
    <w:qFormat/>
    <w:rsid w:val="00092be3"/>
    <w:rPr/>
  </w:style>
  <w:style w:type="character" w:styleId="Bodytext4" w:customStyle="1">
    <w:name w:val="Body text (4)_"/>
    <w:basedOn w:val="DefaultParagraphFont"/>
    <w:link w:val="Bodytext40"/>
    <w:qFormat/>
    <w:locked/>
    <w:rsid w:val="00d76749"/>
    <w:rPr>
      <w:rFonts w:ascii="Franklin Gothic Book" w:hAnsi="Franklin Gothic Book" w:eastAsia="Franklin Gothic Book" w:cs="Franklin Gothic Book"/>
      <w:sz w:val="23"/>
      <w:szCs w:val="23"/>
      <w:shd w:fill="FFFFFF" w:val="clear"/>
    </w:rPr>
  </w:style>
  <w:style w:type="character" w:styleId="Bodytext" w:customStyle="1">
    <w:name w:val="Body text_"/>
    <w:basedOn w:val="DefaultParagraphFont"/>
    <w:link w:val="131"/>
    <w:qFormat/>
    <w:locked/>
    <w:rsid w:val="00d76749"/>
    <w:rPr>
      <w:rFonts w:ascii="Franklin Gothic Book" w:hAnsi="Franklin Gothic Book" w:eastAsia="Franklin Gothic Book" w:cs="Franklin Gothic Book"/>
      <w:sz w:val="23"/>
      <w:szCs w:val="23"/>
      <w:shd w:fill="FFFFFF" w:val="clear"/>
    </w:rPr>
  </w:style>
  <w:style w:type="character" w:styleId="210" w:customStyle="1">
    <w:name w:val="Текст-2 Знак"/>
    <w:link w:val="-20"/>
    <w:qFormat/>
    <w:rsid w:val="00fe6fa1"/>
    <w:rPr>
      <w:rFonts w:ascii="Times New Roman CYR" w:hAnsi="Times New Roman CYR" w:eastAsia="Times New Roman" w:cs="Times New Roman CYR"/>
      <w:sz w:val="26"/>
      <w:szCs w:val="26"/>
      <w:lang w:eastAsia="ru-RU"/>
    </w:rPr>
  </w:style>
  <w:style w:type="character" w:styleId="Style19" w:customStyle="1">
    <w:name w:val="Заголовок рис. Знак"/>
    <w:link w:val="afff1"/>
    <w:qFormat/>
    <w:rsid w:val="00fe6fa1"/>
    <w:rPr>
      <w:rFonts w:ascii="Times New Roman" w:hAnsi="Times New Roman" w:eastAsia="Times New Roman" w:cs="Times New Roman"/>
      <w:b/>
      <w:sz w:val="24"/>
      <w:szCs w:val="20"/>
      <w:lang w:val="x-none" w:eastAsia="x-none"/>
    </w:rPr>
  </w:style>
  <w:style w:type="character" w:styleId="117" w:customStyle="1">
    <w:name w:val="Слабое выделение11"/>
    <w:qFormat/>
    <w:rsid w:val="0093798c"/>
    <w:rPr>
      <w:i/>
      <w:iCs/>
      <w:color w:val="808080"/>
    </w:rPr>
  </w:style>
  <w:style w:type="character" w:styleId="118" w:customStyle="1">
    <w:name w:val="Сильное выделение11"/>
    <w:qFormat/>
    <w:rsid w:val="0093798c"/>
    <w:rPr>
      <w:b/>
      <w:bCs/>
      <w:i/>
      <w:iCs/>
      <w:color w:val="4F81BD"/>
    </w:rPr>
  </w:style>
  <w:style w:type="character" w:styleId="119" w:customStyle="1">
    <w:name w:val="Слабая ссылка11"/>
    <w:qFormat/>
    <w:rsid w:val="0093798c"/>
    <w:rPr>
      <w:smallCaps/>
      <w:color w:val="C0504D"/>
      <w:u w:val="single"/>
    </w:rPr>
  </w:style>
  <w:style w:type="character" w:styleId="1110" w:customStyle="1">
    <w:name w:val="Сильная ссылка11"/>
    <w:qFormat/>
    <w:rsid w:val="0093798c"/>
    <w:rPr>
      <w:b/>
      <w:bCs/>
      <w:smallCaps/>
      <w:color w:val="C0504D"/>
      <w:spacing w:val="5"/>
      <w:u w:val="single"/>
    </w:rPr>
  </w:style>
  <w:style w:type="character" w:styleId="1111" w:customStyle="1">
    <w:name w:val="Название книги11"/>
    <w:qFormat/>
    <w:rsid w:val="0093798c"/>
    <w:rPr>
      <w:b/>
      <w:bCs/>
      <w:smallCaps/>
      <w:spacing w:val="5"/>
    </w:rPr>
  </w:style>
  <w:style w:type="character" w:styleId="Style20" w:customStyle="1">
    <w:name w:val="Текст сноски Знак"/>
    <w:basedOn w:val="DefaultParagraphFont"/>
    <w:link w:val="afff4"/>
    <w:semiHidden/>
    <w:qFormat/>
    <w:rsid w:val="00852c29"/>
    <w:rPr>
      <w:rFonts w:ascii="Times New Roman" w:hAnsi="Times New Roman" w:eastAsia="Calibri" w:cs="Times New Roman"/>
      <w:sz w:val="20"/>
      <w:szCs w:val="20"/>
    </w:rPr>
  </w:style>
  <w:style w:type="character" w:styleId="Style21">
    <w:name w:val="Привязка сноски"/>
    <w:rPr>
      <w:vertAlign w:val="superscript"/>
    </w:rPr>
  </w:style>
  <w:style w:type="character" w:styleId="FootnoteCharacters">
    <w:name w:val="Footnote Characters"/>
    <w:basedOn w:val="DefaultParagraphFont"/>
    <w:uiPriority w:val="99"/>
    <w:semiHidden/>
    <w:unhideWhenUsed/>
    <w:qFormat/>
    <w:rsid w:val="00852c29"/>
    <w:rPr>
      <w:vertAlign w:val="superscript"/>
    </w:rPr>
  </w:style>
  <w:style w:type="character" w:styleId="120" w:customStyle="1">
    <w:name w:val="АЗаголов 1 Знак"/>
    <w:basedOn w:val="11"/>
    <w:link w:val="1ff"/>
    <w:qFormat/>
    <w:rsid w:val="007c5f3d"/>
    <w:rPr>
      <w:rFonts w:ascii="Times New Roman" w:hAnsi="Times New Roman" w:eastAsia="Times New Roman" w:cs="Times New Roman"/>
      <w:b/>
      <w:bCs/>
      <w:kern w:val="2"/>
      <w:sz w:val="24"/>
      <w:szCs w:val="24"/>
      <w:lang w:eastAsia="ru-RU"/>
    </w:rPr>
  </w:style>
  <w:style w:type="character" w:styleId="Style22" w:customStyle="1">
    <w:name w:val="АРисун Знак"/>
    <w:basedOn w:val="Style12"/>
    <w:link w:val="afff7"/>
    <w:qFormat/>
    <w:rsid w:val="00d73ca6"/>
    <w:rPr>
      <w:rFonts w:ascii="Times New Roman" w:hAnsi="Times New Roman" w:eastAsia="Microsoft YaHei" w:cs="Times New Roman"/>
      <w:b w:val="false"/>
      <w:bCs/>
      <w:i/>
      <w:color w:val="4F81BD"/>
      <w:spacing w:val="-5"/>
      <w:sz w:val="24"/>
      <w:szCs w:val="24"/>
    </w:rPr>
  </w:style>
  <w:style w:type="character" w:styleId="A" w:customStyle="1">
    <w:name w:val="Aобычный текст Знак"/>
    <w:basedOn w:val="DefaultParagraphFont"/>
    <w:link w:val="Afff9"/>
    <w:qFormat/>
    <w:rsid w:val="007c5f3d"/>
    <w:rPr>
      <w:rFonts w:ascii="Times New Roman" w:hAnsi="Times New Roman" w:eastAsia="Calibri" w:cs="Times New Roman"/>
      <w:sz w:val="24"/>
      <w:szCs w:val="24"/>
    </w:rPr>
  </w:style>
  <w:style w:type="character" w:styleId="Style23" w:customStyle="1">
    <w:name w:val="АТаблицы Знак"/>
    <w:basedOn w:val="Style12"/>
    <w:link w:val="afffb"/>
    <w:qFormat/>
    <w:rsid w:val="005819bc"/>
    <w:rPr>
      <w:rFonts w:ascii="Times New Roman" w:hAnsi="Times New Roman" w:eastAsia="Microsoft YaHei" w:cs="Times New Roman"/>
      <w:b w:val="false"/>
      <w:bCs/>
      <w:i/>
      <w:color w:val="4F81BD"/>
      <w:spacing w:val="-5"/>
      <w:sz w:val="24"/>
      <w:szCs w:val="24"/>
    </w:rPr>
  </w:style>
  <w:style w:type="character" w:styleId="211" w:customStyle="1">
    <w:name w:val="АЗаголов 2 Знак"/>
    <w:basedOn w:val="11"/>
    <w:link w:val="2f"/>
    <w:qFormat/>
    <w:rsid w:val="00e96454"/>
    <w:rPr>
      <w:rFonts w:ascii="Times New Roman" w:hAnsi="Times New Roman" w:eastAsia="Times New Roman" w:cs="Times New Roman"/>
      <w:b/>
      <w:bCs/>
      <w:i/>
      <w:kern w:val="2"/>
      <w:sz w:val="24"/>
      <w:szCs w:val="24"/>
      <w:lang w:eastAsia="ru-RU"/>
    </w:rPr>
  </w:style>
  <w:style w:type="character" w:styleId="33" w:customStyle="1">
    <w:name w:val="АЗаголов 3 Знак"/>
    <w:basedOn w:val="21"/>
    <w:link w:val="36"/>
    <w:qFormat/>
    <w:rsid w:val="008b2498"/>
    <w:rPr>
      <w:rFonts w:ascii="Times New Roman" w:hAnsi="Times New Roman" w:eastAsia="Times New Roman" w:cs="Times New Roman"/>
      <w:b/>
      <w:bCs/>
      <w:i/>
      <w:sz w:val="28"/>
      <w:szCs w:val="28"/>
      <w:lang w:eastAsia="ru-RU"/>
    </w:rPr>
  </w:style>
  <w:style w:type="character" w:styleId="43" w:customStyle="1">
    <w:name w:val="Азаголов 4 Знак"/>
    <w:basedOn w:val="41"/>
    <w:link w:val="4"/>
    <w:qFormat/>
    <w:rsid w:val="00977423"/>
    <w:rPr>
      <w:rFonts w:ascii="Times New Roman" w:hAnsi="Times New Roman" w:eastAsia="Times New Roman" w:cs="Times New Roman"/>
      <w:b/>
      <w:bCs/>
      <w:kern w:val="2"/>
      <w:sz w:val="28"/>
      <w:szCs w:val="28"/>
      <w:lang w:eastAsia="ar-SA"/>
    </w:rPr>
  </w:style>
  <w:style w:type="character" w:styleId="ListParagraph1" w:customStyle="1">
    <w:name w:val="List Paragraph1 Знак"/>
    <w:basedOn w:val="DefaultParagraphFont"/>
    <w:link w:val="ListParagraph1"/>
    <w:qFormat/>
    <w:rsid w:val="006d77ac"/>
    <w:rPr>
      <w:rFonts w:ascii="Calibri" w:hAnsi="Calibri" w:eastAsia="Times New Roman" w:cs="Times New Roman"/>
      <w:lang w:val="en-US" w:bidi="en-US"/>
    </w:rPr>
  </w:style>
  <w:style w:type="character" w:styleId="53" w:customStyle="1">
    <w:name w:val="АЗаголов 5 Знак"/>
    <w:basedOn w:val="ListParagraph1"/>
    <w:link w:val="54"/>
    <w:qFormat/>
    <w:rsid w:val="00da0026"/>
    <w:rPr>
      <w:rFonts w:ascii="Times New Roman" w:hAnsi="Times New Roman" w:eastAsia="Times New Roman" w:cs="Times New Roman"/>
      <w:i/>
      <w:sz w:val="28"/>
      <w:szCs w:val="28"/>
      <w:lang w:val="en-US" w:bidi="en-US"/>
    </w:rPr>
  </w:style>
  <w:style w:type="character" w:styleId="Style24" w:customStyle="1">
    <w:name w:val="Основной ГП Знак"/>
    <w:link w:val="afffe"/>
    <w:qFormat/>
    <w:locked/>
    <w:rsid w:val="00b105c4"/>
    <w:rPr>
      <w:rFonts w:ascii="Times New Roman" w:hAnsi="Times New Roman" w:eastAsia="" w:cs="Times New Roman" w:eastAsiaTheme="minorEastAsia"/>
      <w:b/>
      <w:bCs/>
      <w:i/>
      <w:color w:val="000000"/>
      <w:sz w:val="20"/>
      <w:szCs w:val="20"/>
      <w:lang w:eastAsia="ru-RU"/>
    </w:rPr>
  </w:style>
  <w:style w:type="character" w:styleId="FontStyle62" w:customStyle="1">
    <w:name w:val="Font Style62"/>
    <w:qFormat/>
    <w:rsid w:val="00b105c4"/>
    <w:rPr>
      <w:rFonts w:ascii="Book Antiqua" w:hAnsi="Book Antiqua"/>
      <w:sz w:val="24"/>
    </w:rPr>
  </w:style>
  <w:style w:type="character" w:styleId="Linenumber">
    <w:name w:val="line number"/>
    <w:basedOn w:val="DefaultParagraphFont"/>
    <w:unhideWhenUsed/>
    <w:qFormat/>
    <w:rsid w:val="00b359b6"/>
    <w:rPr/>
  </w:style>
  <w:style w:type="character" w:styleId="PlaceholderText">
    <w:name w:val="Placeholder Text"/>
    <w:basedOn w:val="DefaultParagraphFont"/>
    <w:uiPriority w:val="99"/>
    <w:semiHidden/>
    <w:qFormat/>
    <w:rsid w:val="00553e41"/>
    <w:rPr>
      <w:color w:val="808080"/>
    </w:rPr>
  </w:style>
  <w:style w:type="character" w:styleId="Style25" w:customStyle="1">
    <w:name w:val="ААПереч Знак"/>
    <w:basedOn w:val="A"/>
    <w:link w:val="a4"/>
    <w:qFormat/>
    <w:rsid w:val="004145d1"/>
    <w:rPr>
      <w:rFonts w:ascii="Times New Roman" w:hAnsi="Times New Roman" w:eastAsia="Calibri" w:cs="Times New Roman"/>
      <w:sz w:val="24"/>
      <w:szCs w:val="24"/>
    </w:rPr>
  </w:style>
  <w:style w:type="character" w:styleId="SubtleReference">
    <w:name w:val="Subtle Reference"/>
    <w:basedOn w:val="DefaultParagraphFont"/>
    <w:uiPriority w:val="31"/>
    <w:qFormat/>
    <w:rsid w:val="00a45a27"/>
    <w:rPr>
      <w:rFonts w:ascii="Times New Roman" w:hAnsi="Times New Roman"/>
      <w:strike w:val="false"/>
      <w:dstrike w:val="false"/>
      <w:color w:val="auto"/>
      <w:position w:val="0"/>
      <w:sz w:val="24"/>
      <w:sz w:val="24"/>
      <w:vertAlign w:val="baseline"/>
    </w:rPr>
  </w:style>
  <w:style w:type="character" w:styleId="Style26" w:customStyle="1">
    <w:name w:val="Абзац Знак"/>
    <w:basedOn w:val="DefaultParagraphFont"/>
    <w:link w:val="affff9"/>
    <w:qFormat/>
    <w:locked/>
    <w:rsid w:val="00a45a27"/>
    <w:rPr>
      <w:rFonts w:ascii="Times New Roman" w:hAnsi="Times New Roman" w:eastAsia="Times New Roman" w:cs="Times New Roman"/>
      <w:sz w:val="24"/>
      <w:szCs w:val="24"/>
      <w:lang w:eastAsia="ru-RU"/>
    </w:rPr>
  </w:style>
  <w:style w:type="character" w:styleId="212" w:customStyle="1">
    <w:name w:val="Основной текст с отступом 2 Знак"/>
    <w:basedOn w:val="DefaultParagraphFont"/>
    <w:link w:val="2f2"/>
    <w:qFormat/>
    <w:rsid w:val="00a45a27"/>
    <w:rPr>
      <w:rFonts w:ascii="Times New Roman" w:hAnsi="Times New Roman" w:eastAsia="Times New Roman" w:cs="Times New Roman"/>
      <w:sz w:val="24"/>
      <w:szCs w:val="24"/>
      <w:lang w:eastAsia="ru-RU"/>
    </w:rPr>
  </w:style>
  <w:style w:type="character" w:styleId="Style27" w:customStyle="1">
    <w:name w:val="Основной текст_"/>
    <w:basedOn w:val="DefaultParagraphFont"/>
    <w:link w:val="1fe"/>
    <w:qFormat/>
    <w:rsid w:val="00a45a27"/>
    <w:rPr>
      <w:rFonts w:ascii="Times New Roman" w:hAnsi="Times New Roman" w:eastAsia="Times New Roman" w:cs="Times New Roman"/>
      <w:sz w:val="28"/>
      <w:szCs w:val="28"/>
      <w:shd w:fill="FFFFFF" w:val="clear"/>
      <w:lang w:eastAsia="ru-RU"/>
    </w:rPr>
  </w:style>
  <w:style w:type="character" w:styleId="85pt" w:customStyle="1">
    <w:name w:val="Основной текст + 8;5 pt"/>
    <w:basedOn w:val="Style27"/>
    <w:qFormat/>
    <w:rsid w:val="00a45a27"/>
    <w:rPr>
      <w:rFonts w:ascii="Times New Roman" w:hAnsi="Times New Roman" w:eastAsia="Times New Roman" w:cs="Times New Roman"/>
      <w:color w:val="000000"/>
      <w:spacing w:val="0"/>
      <w:w w:val="100"/>
      <w:sz w:val="17"/>
      <w:szCs w:val="17"/>
      <w:shd w:fill="FFFFFF" w:val="clear"/>
      <w:lang w:val="ru-RU" w:eastAsia="ru-RU"/>
    </w:rPr>
  </w:style>
  <w:style w:type="character" w:styleId="95pt" w:customStyle="1">
    <w:name w:val="Основной текст + 9;5 pt;Курсив"/>
    <w:basedOn w:val="Style27"/>
    <w:qFormat/>
    <w:rsid w:val="00a45a27"/>
    <w:rPr>
      <w:rFonts w:ascii="Times New Roman" w:hAnsi="Times New Roman" w:eastAsia="Times New Roman" w:cs="Times New Roman"/>
      <w:i/>
      <w:iCs/>
      <w:color w:val="000000"/>
      <w:spacing w:val="0"/>
      <w:w w:val="100"/>
      <w:sz w:val="19"/>
      <w:szCs w:val="19"/>
      <w:shd w:fill="FFFFFF" w:val="clear"/>
      <w:lang w:eastAsia="ru-RU"/>
    </w:rPr>
  </w:style>
  <w:style w:type="character" w:styleId="8pt" w:customStyle="1">
    <w:name w:val="Основной текст + 8 pt;Полужирный"/>
    <w:basedOn w:val="Style27"/>
    <w:qFormat/>
    <w:rsid w:val="00a45a27"/>
    <w:rPr>
      <w:rFonts w:ascii="Times New Roman" w:hAnsi="Times New Roman" w:eastAsia="Times New Roman" w:cs="Times New Roman"/>
      <w:color w:val="000000"/>
      <w:spacing w:val="0"/>
      <w:w w:val="100"/>
      <w:sz w:val="16"/>
      <w:szCs w:val="16"/>
      <w:shd w:fill="FFFFFF" w:val="clear"/>
      <w:lang w:val="ru-RU" w:eastAsia="ru-RU"/>
    </w:rPr>
  </w:style>
  <w:style w:type="character" w:styleId="213" w:customStyle="1">
    <w:name w:val="Заголовок №2_"/>
    <w:basedOn w:val="DefaultParagraphFont"/>
    <w:link w:val="2f5"/>
    <w:qFormat/>
    <w:rsid w:val="00a45a27"/>
    <w:rPr>
      <w:rFonts w:ascii="Times New Roman" w:hAnsi="Times New Roman" w:eastAsia="Times New Roman" w:cs="Times New Roman"/>
      <w:sz w:val="27"/>
      <w:szCs w:val="27"/>
      <w:shd w:fill="FFFFFF" w:val="clear"/>
    </w:rPr>
  </w:style>
  <w:style w:type="character" w:styleId="ArialUnicodeMS11pt" w:customStyle="1">
    <w:name w:val="Основной текст + Arial Unicode MS;11 pt;Курсив"/>
    <w:basedOn w:val="Style27"/>
    <w:qFormat/>
    <w:rsid w:val="00a45a27"/>
    <w:rPr>
      <w:rFonts w:ascii="Arial Unicode MS" w:hAnsi="Arial Unicode MS" w:eastAsia="Arial Unicode MS" w:cs="Arial Unicode MS"/>
      <w:i/>
      <w:iCs/>
      <w:caps w:val="false"/>
      <w:smallCaps w:val="false"/>
      <w:color w:val="000000"/>
      <w:spacing w:val="0"/>
      <w:w w:val="100"/>
      <w:sz w:val="22"/>
      <w:szCs w:val="22"/>
      <w:shd w:fill="FFFFFF" w:val="clear"/>
      <w:lang w:eastAsia="ru-RU"/>
    </w:rPr>
  </w:style>
  <w:style w:type="character" w:styleId="ArialUnicodeMS9pt" w:customStyle="1">
    <w:name w:val="Основной текст + Arial Unicode MS;9 pt"/>
    <w:basedOn w:val="Style27"/>
    <w:qFormat/>
    <w:rsid w:val="00a45a27"/>
    <w:rPr>
      <w:rFonts w:ascii="Arial Unicode MS" w:hAnsi="Arial Unicode MS" w:eastAsia="Arial Unicode MS" w:cs="Arial Unicode MS"/>
      <w:i w:val="false"/>
      <w:iCs w:val="false"/>
      <w:caps w:val="false"/>
      <w:smallCaps w:val="false"/>
      <w:color w:val="000000"/>
      <w:spacing w:val="0"/>
      <w:w w:val="100"/>
      <w:sz w:val="18"/>
      <w:szCs w:val="18"/>
      <w:shd w:fill="FFFFFF" w:val="clear"/>
      <w:lang w:val="ru-RU" w:eastAsia="ru-RU"/>
    </w:rPr>
  </w:style>
  <w:style w:type="character" w:styleId="Calibri315pt" w:customStyle="1">
    <w:name w:val="Основной текст + Calibri;31;5 pt"/>
    <w:basedOn w:val="Style27"/>
    <w:qFormat/>
    <w:rsid w:val="00a45a27"/>
    <w:rPr>
      <w:rFonts w:ascii="Calibri" w:hAnsi="Calibri" w:eastAsia="Calibri" w:cs="Calibri"/>
      <w:i w:val="false"/>
      <w:iCs w:val="false"/>
      <w:caps w:val="false"/>
      <w:smallCaps w:val="false"/>
      <w:color w:val="000000"/>
      <w:spacing w:val="0"/>
      <w:w w:val="100"/>
      <w:sz w:val="63"/>
      <w:szCs w:val="63"/>
      <w:shd w:fill="FFFFFF" w:val="clear"/>
      <w:lang w:eastAsia="ru-RU"/>
    </w:rPr>
  </w:style>
  <w:style w:type="character" w:styleId="Calibri75pt" w:customStyle="1">
    <w:name w:val="Основной текст + Calibri;7.5 pt"/>
    <w:basedOn w:val="Style27"/>
    <w:qFormat/>
    <w:rsid w:val="00a45a27"/>
    <w:rPr>
      <w:rFonts w:ascii="Calibri" w:hAnsi="Calibri" w:eastAsia="Calibri" w:cs="Calibri"/>
      <w:i w:val="false"/>
      <w:iCs w:val="false"/>
      <w:caps w:val="false"/>
      <w:smallCaps w:val="false"/>
      <w:color w:val="000000"/>
      <w:spacing w:val="0"/>
      <w:w w:val="100"/>
      <w:sz w:val="15"/>
      <w:szCs w:val="15"/>
      <w:shd w:fill="FFFFFF" w:val="clear"/>
      <w:lang w:val="ru-RU" w:eastAsia="ru-RU"/>
    </w:rPr>
  </w:style>
  <w:style w:type="character" w:styleId="Calibri7pt" w:customStyle="1">
    <w:name w:val="Основной текст + Calibri;7 pt"/>
    <w:basedOn w:val="Style27"/>
    <w:qFormat/>
    <w:rsid w:val="00a45a27"/>
    <w:rPr>
      <w:rFonts w:ascii="Calibri" w:hAnsi="Calibri" w:eastAsia="Calibri" w:cs="Calibri"/>
      <w:i w:val="false"/>
      <w:iCs w:val="false"/>
      <w:caps w:val="false"/>
      <w:smallCaps w:val="false"/>
      <w:color w:val="000000"/>
      <w:spacing w:val="0"/>
      <w:w w:val="100"/>
      <w:sz w:val="14"/>
      <w:szCs w:val="14"/>
      <w:shd w:fill="FFFFFF" w:val="clear"/>
      <w:lang w:val="en-US" w:eastAsia="ru-RU"/>
    </w:rPr>
  </w:style>
  <w:style w:type="character" w:styleId="Consolas6pt" w:customStyle="1">
    <w:name w:val="Основной текст + Consolas;6 pt;Полужирный"/>
    <w:basedOn w:val="Style27"/>
    <w:qFormat/>
    <w:rsid w:val="00a45a27"/>
    <w:rPr>
      <w:rFonts w:ascii="Consolas" w:hAnsi="Consolas" w:eastAsia="Consolas" w:cs="Consolas"/>
      <w:i w:val="false"/>
      <w:iCs w:val="false"/>
      <w:caps w:val="false"/>
      <w:smallCaps w:val="false"/>
      <w:color w:val="000000"/>
      <w:spacing w:val="0"/>
      <w:w w:val="100"/>
      <w:sz w:val="12"/>
      <w:szCs w:val="12"/>
      <w:shd w:fill="FFFFFF" w:val="clear"/>
      <w:lang w:val="ru-RU" w:eastAsia="ru-RU"/>
    </w:rPr>
  </w:style>
  <w:style w:type="character" w:styleId="214" w:customStyle="1">
    <w:name w:val="ААЗаг2 Знак"/>
    <w:basedOn w:val="21"/>
    <w:link w:val="2fa"/>
    <w:qFormat/>
    <w:rsid w:val="00184b63"/>
    <w:rPr>
      <w:rFonts w:ascii="Times New Roman" w:hAnsi="Times New Roman" w:eastAsia="Times New Roman" w:cs="Arial"/>
      <w:b/>
      <w:bCs w:val="false"/>
      <w:i/>
      <w:iCs/>
      <w:sz w:val="28"/>
      <w:szCs w:val="28"/>
      <w:lang w:eastAsia="ru-RU"/>
    </w:rPr>
  </w:style>
  <w:style w:type="character" w:styleId="215" w:customStyle="1">
    <w:name w:val="Основной текст 2 Знак"/>
    <w:basedOn w:val="DefaultParagraphFont"/>
    <w:link w:val="2fc"/>
    <w:qFormat/>
    <w:rsid w:val="00151824"/>
    <w:rPr>
      <w:rFonts w:ascii="Times New Roman" w:hAnsi="Times New Roman" w:eastAsia="Calibri" w:cs="Times New Roman"/>
      <w:sz w:val="24"/>
    </w:rPr>
  </w:style>
  <w:style w:type="character" w:styleId="34" w:customStyle="1">
    <w:name w:val="Основной текст 3 Знак"/>
    <w:basedOn w:val="DefaultParagraphFont"/>
    <w:link w:val="3a"/>
    <w:qFormat/>
    <w:rsid w:val="00151824"/>
    <w:rPr>
      <w:rFonts w:ascii="Times New Roman" w:hAnsi="Times New Roman" w:eastAsia="Calibri" w:cs="Times New Roman"/>
      <w:sz w:val="16"/>
      <w:szCs w:val="16"/>
    </w:rPr>
  </w:style>
  <w:style w:type="character" w:styleId="ConsPlusNormal" w:customStyle="1">
    <w:name w:val="ConsPlusNormal Знак"/>
    <w:basedOn w:val="DefaultParagraphFont"/>
    <w:link w:val="ConsPlusNormal"/>
    <w:qFormat/>
    <w:locked/>
    <w:rsid w:val="00357d1c"/>
    <w:rPr>
      <w:rFonts w:ascii="Arial" w:hAnsi="Arial" w:eastAsia="" w:cs="Arial" w:eastAsiaTheme="minorEastAsia"/>
      <w:sz w:val="20"/>
      <w:szCs w:val="20"/>
      <w:lang w:eastAsia="ru-RU"/>
    </w:rPr>
  </w:style>
  <w:style w:type="character" w:styleId="Style28" w:customStyle="1">
    <w:name w:val="Для таблицы Знак"/>
    <w:basedOn w:val="DefaultParagraphFont"/>
    <w:link w:val="affffff"/>
    <w:qFormat/>
    <w:rsid w:val="00cf7a62"/>
    <w:rPr>
      <w:rFonts w:ascii="Calibri" w:hAnsi="Calibri" w:eastAsia="Calibri" w:cs="Times New Roman"/>
      <w:sz w:val="24"/>
    </w:rPr>
  </w:style>
  <w:style w:type="character" w:styleId="W" w:customStyle="1">
    <w:name w:val="w"/>
    <w:basedOn w:val="DefaultParagraphFont"/>
    <w:qFormat/>
    <w:rsid w:val="0000766b"/>
    <w:rPr/>
  </w:style>
  <w:style w:type="character" w:styleId="Style29" w:customStyle="1">
    <w:name w:val="АОбычный Знак"/>
    <w:basedOn w:val="DefaultParagraphFont"/>
    <w:link w:val="affffff2"/>
    <w:qFormat/>
    <w:locked/>
    <w:rsid w:val="00574ffd"/>
    <w:rPr>
      <w:rFonts w:ascii="Times New Roman" w:hAnsi="Times New Roman" w:cs="Times New Roman"/>
      <w:sz w:val="24"/>
      <w:szCs w:val="24"/>
    </w:rPr>
  </w:style>
  <w:style w:type="character" w:styleId="Style30" w:customStyle="1">
    <w:name w:val="АТаблица Знак"/>
    <w:basedOn w:val="DefaultParagraphFont"/>
    <w:link w:val="affffff4"/>
    <w:qFormat/>
    <w:locked/>
    <w:rsid w:val="00574ffd"/>
    <w:rPr>
      <w:rFonts w:ascii="Times New Roman" w:hAnsi="Times New Roman" w:cs="Times New Roman"/>
      <w:i/>
      <w:sz w:val="20"/>
      <w:szCs w:val="20"/>
    </w:rPr>
  </w:style>
  <w:style w:type="character" w:styleId="Style31" w:customStyle="1">
    <w:name w:val="АСодержТаб Знак"/>
    <w:basedOn w:val="DefaultParagraphFont"/>
    <w:link w:val="affffff6"/>
    <w:uiPriority w:val="1"/>
    <w:qFormat/>
    <w:locked/>
    <w:rsid w:val="00574ffd"/>
    <w:rPr>
      <w:rFonts w:ascii="Times New Roman" w:hAnsi="Times New Roman" w:cs="Times New Roman"/>
      <w:spacing w:val="-1"/>
      <w:sz w:val="20"/>
      <w:szCs w:val="20"/>
    </w:rPr>
  </w:style>
  <w:style w:type="character" w:styleId="G" w:customStyle="1">
    <w:name w:val="G_Маркированый список Знак"/>
    <w:link w:val="G"/>
    <w:qFormat/>
    <w:rsid w:val="009b1486"/>
    <w:rPr>
      <w:rFonts w:ascii="Calibri" w:hAnsi="Calibri" w:eastAsia="Times New Roman" w:cs="Times New Roman"/>
      <w:sz w:val="24"/>
      <w:szCs w:val="24"/>
      <w:lang w:bidi="en-US"/>
    </w:rPr>
  </w:style>
  <w:style w:type="character" w:styleId="Style32" w:customStyle="1">
    <w:name w:val="АСодТаб Знак"/>
    <w:basedOn w:val="DefaultParagraphFont"/>
    <w:link w:val="affffff7"/>
    <w:uiPriority w:val="1"/>
    <w:qFormat/>
    <w:rsid w:val="00d2295b"/>
    <w:rPr>
      <w:rFonts w:ascii="Times New Roman" w:hAnsi="Times New Roman"/>
      <w:spacing w:val="-1"/>
      <w:sz w:val="20"/>
    </w:rPr>
  </w:style>
  <w:style w:type="character" w:styleId="FontStyle13" w:customStyle="1">
    <w:name w:val="Font Style13"/>
    <w:qFormat/>
    <w:rsid w:val="005d43b0"/>
    <w:rPr/>
  </w:style>
  <w:style w:type="character" w:styleId="Style33" w:customStyle="1">
    <w:name w:val="ААОбыч Знак"/>
    <w:basedOn w:val="Style16"/>
    <w:link w:val="affffff9"/>
    <w:uiPriority w:val="1"/>
    <w:qFormat/>
    <w:rsid w:val="004717a5"/>
    <w:rPr>
      <w:rFonts w:ascii="Times New Roman" w:hAnsi="Times New Roman" w:eastAsia="Times New Roman" w:cs="Calibri"/>
      <w:sz w:val="24"/>
      <w:szCs w:val="24"/>
      <w:lang w:val="en-US" w:bidi="en-US"/>
    </w:rPr>
  </w:style>
  <w:style w:type="character" w:styleId="Style34" w:customStyle="1">
    <w:name w:val="Схема документа Знак"/>
    <w:basedOn w:val="DefaultParagraphFont"/>
    <w:link w:val="affffffb"/>
    <w:uiPriority w:val="99"/>
    <w:semiHidden/>
    <w:qFormat/>
    <w:rsid w:val="00835ade"/>
    <w:rPr>
      <w:rFonts w:ascii="Tahoma" w:hAnsi="Tahoma" w:eastAsia="Times New Roman" w:cs="Tahoma"/>
      <w:sz w:val="16"/>
      <w:szCs w:val="16"/>
      <w:lang w:eastAsia="ru-RU"/>
    </w:rPr>
  </w:style>
  <w:style w:type="character" w:styleId="Style35" w:customStyle="1">
    <w:name w:val="Заголовок документа Знак"/>
    <w:basedOn w:val="DefaultParagraphFont"/>
    <w:link w:val="affffffd"/>
    <w:qFormat/>
    <w:rsid w:val="00835ade"/>
    <w:rPr>
      <w:rFonts w:ascii="Times New Roman" w:hAnsi="Times New Roman" w:cs="Times New Roman"/>
      <w:b/>
      <w:sz w:val="28"/>
      <w:szCs w:val="28"/>
    </w:rPr>
  </w:style>
  <w:style w:type="character" w:styleId="121" w:customStyle="1">
    <w:name w:val="ААУр1 Знак"/>
    <w:basedOn w:val="11"/>
    <w:link w:val="1fff0"/>
    <w:uiPriority w:val="1"/>
    <w:qFormat/>
    <w:rsid w:val="00835ade"/>
    <w:rPr>
      <w:rFonts w:ascii="Times New Roman" w:hAnsi="Times New Roman" w:eastAsia="Times New Roman" w:cs="Times New Roman"/>
      <w:b/>
      <w:bCs/>
      <w:spacing w:val="-1"/>
      <w:kern w:val="2"/>
      <w:sz w:val="28"/>
      <w:szCs w:val="28"/>
    </w:rPr>
  </w:style>
  <w:style w:type="character" w:styleId="Style36" w:customStyle="1">
    <w:name w:val="ААРис Знак"/>
    <w:basedOn w:val="DefaultParagraphFont"/>
    <w:link w:val="afffffff"/>
    <w:uiPriority w:val="1"/>
    <w:qFormat/>
    <w:rsid w:val="00835ade"/>
    <w:rPr>
      <w:rFonts w:ascii="Times New Roman" w:hAnsi="Times New Roman"/>
      <w:i/>
      <w:sz w:val="20"/>
    </w:rPr>
  </w:style>
  <w:style w:type="character" w:styleId="Style37" w:customStyle="1">
    <w:name w:val="ААТабл Знак"/>
    <w:basedOn w:val="DefaultParagraphFont"/>
    <w:link w:val="afffffff1"/>
    <w:uiPriority w:val="1"/>
    <w:qFormat/>
    <w:rsid w:val="00792466"/>
    <w:rPr>
      <w:rFonts w:ascii="Times New Roman" w:hAnsi="Times New Roman"/>
      <w:i/>
      <w:spacing w:val="-1"/>
      <w:sz w:val="24"/>
      <w:szCs w:val="24"/>
    </w:rPr>
  </w:style>
  <w:style w:type="character" w:styleId="Style38" w:customStyle="1">
    <w:name w:val="ААСодТаб Знак"/>
    <w:basedOn w:val="DefaultParagraphFont"/>
    <w:link w:val="afffffff3"/>
    <w:uiPriority w:val="1"/>
    <w:qFormat/>
    <w:rsid w:val="00835ade"/>
    <w:rPr>
      <w:rFonts w:ascii="Times New Roman" w:hAnsi="Times New Roman" w:cs="Times New Roman"/>
      <w:spacing w:val="-1"/>
      <w:lang w:val="en-US"/>
    </w:rPr>
  </w:style>
  <w:style w:type="character" w:styleId="216" w:customStyle="1">
    <w:name w:val="2 Заголовок Знак"/>
    <w:basedOn w:val="DefaultParagraphFont"/>
    <w:link w:val="2ff"/>
    <w:qFormat/>
    <w:rsid w:val="00835ade"/>
    <w:rPr>
      <w:rFonts w:ascii="Times New Roman" w:hAnsi="Times New Roman" w:cs="Times New Roman"/>
      <w:b/>
      <w:i/>
      <w:sz w:val="28"/>
      <w:szCs w:val="28"/>
    </w:rPr>
  </w:style>
  <w:style w:type="character" w:styleId="217" w:customStyle="1">
    <w:name w:val="ААУр2 Знак"/>
    <w:basedOn w:val="21"/>
    <w:link w:val="2fe"/>
    <w:uiPriority w:val="1"/>
    <w:qFormat/>
    <w:rsid w:val="00835ade"/>
    <w:rPr>
      <w:rFonts w:ascii="Times New Roman" w:hAnsi="Times New Roman" w:eastAsia="" w:cs="Times New Roman" w:eastAsiaTheme="majorEastAsia"/>
      <w:b/>
      <w:bCs w:val="false"/>
      <w:i/>
      <w:sz w:val="28"/>
      <w:szCs w:val="28"/>
    </w:rPr>
  </w:style>
  <w:style w:type="character" w:styleId="35" w:customStyle="1">
    <w:name w:val="3 Заголовок Знак"/>
    <w:basedOn w:val="DefaultParagraphFont"/>
    <w:link w:val="3d"/>
    <w:uiPriority w:val="1"/>
    <w:qFormat/>
    <w:rsid w:val="00835ade"/>
    <w:rPr>
      <w:rFonts w:ascii="Times New Roman" w:hAnsi="Times New Roman" w:cs="Times New Roman"/>
      <w:b/>
      <w:sz w:val="28"/>
      <w:szCs w:val="28"/>
    </w:rPr>
  </w:style>
  <w:style w:type="character" w:styleId="36" w:customStyle="1">
    <w:name w:val="ААУр3 Знак"/>
    <w:basedOn w:val="Style33"/>
    <w:link w:val="3c"/>
    <w:uiPriority w:val="1"/>
    <w:qFormat/>
    <w:rsid w:val="00835ade"/>
    <w:rPr>
      <w:rFonts w:ascii="Times New Roman" w:hAnsi="Times New Roman" w:eastAsia="Times New Roman" w:cs="Times New Roman"/>
      <w:b/>
      <w:sz w:val="24"/>
      <w:szCs w:val="24"/>
      <w:lang w:val="en-US" w:bidi="en-US"/>
    </w:rPr>
  </w:style>
  <w:style w:type="character" w:styleId="122" w:customStyle="1">
    <w:name w:val="1 Заголовок Знак"/>
    <w:basedOn w:val="DefaultParagraphFont"/>
    <w:link w:val="1fff2"/>
    <w:qFormat/>
    <w:rsid w:val="00835ade"/>
    <w:rPr>
      <w:rFonts w:ascii="Times New Roman" w:hAnsi="Times New Roman" w:cs="Times New Roman"/>
      <w:b/>
      <w:sz w:val="28"/>
      <w:szCs w:val="28"/>
    </w:rPr>
  </w:style>
  <w:style w:type="character" w:styleId="Style39" w:customStyle="1">
    <w:name w:val="АПереч Знак"/>
    <w:basedOn w:val="Style29"/>
    <w:link w:val="a0"/>
    <w:uiPriority w:val="1"/>
    <w:qFormat/>
    <w:rsid w:val="007c5f3d"/>
    <w:rPr>
      <w:rFonts w:ascii="Times New Roman" w:hAnsi="Times New Roman" w:cs="Times New Roman"/>
      <w:sz w:val="24"/>
      <w:szCs w:val="24"/>
    </w:rPr>
  </w:style>
  <w:style w:type="character" w:styleId="Style40" w:customStyle="1">
    <w:name w:val="АРис Знак"/>
    <w:basedOn w:val="DefaultParagraphFont"/>
    <w:link w:val="afffffff6"/>
    <w:uiPriority w:val="1"/>
    <w:qFormat/>
    <w:rsid w:val="00835ade"/>
    <w:rPr>
      <w:rFonts w:ascii="Times New Roman" w:hAnsi="Times New Roman" w:cs="Times New Roman"/>
      <w:i/>
      <w:spacing w:val="-1"/>
      <w:sz w:val="20"/>
      <w:szCs w:val="20"/>
    </w:rPr>
  </w:style>
  <w:style w:type="character" w:styleId="Style41" w:customStyle="1">
    <w:name w:val="АСодТабл Знак"/>
    <w:basedOn w:val="Style38"/>
    <w:link w:val="afffffff8"/>
    <w:qFormat/>
    <w:rsid w:val="00f744eb"/>
    <w:rPr>
      <w:rFonts w:ascii="Times New Roman" w:hAnsi="Times New Roman" w:cs="Times New Roman"/>
      <w:spacing w:val="-1"/>
      <w:lang w:val="en-US"/>
    </w:rPr>
  </w:style>
  <w:style w:type="character" w:styleId="ListParagraphChar" w:customStyle="1">
    <w:name w:val="List Paragraph Char"/>
    <w:basedOn w:val="DefaultParagraphFont"/>
    <w:link w:val="1fff5"/>
    <w:qFormat/>
    <w:locked/>
    <w:rsid w:val="0024265d"/>
    <w:rPr>
      <w:rFonts w:ascii="Times New Roman" w:hAnsi="Times New Roman" w:eastAsia="Times New Roman" w:cs="Times New Roman"/>
      <w:sz w:val="24"/>
      <w:szCs w:val="24"/>
      <w:lang w:eastAsia="ru-RU"/>
    </w:rPr>
  </w:style>
  <w:style w:type="character" w:styleId="Style42" w:customStyle="1">
    <w:name w:val="Текст Знак"/>
    <w:basedOn w:val="DefaultParagraphFont"/>
    <w:link w:val="afffffffc"/>
    <w:qFormat/>
    <w:rsid w:val="0024265d"/>
    <w:rPr>
      <w:rFonts w:ascii="Times New Roman" w:hAnsi="Times New Roman" w:eastAsia="Times New Roman" w:cs="Times New Roman"/>
      <w:sz w:val="26"/>
      <w:szCs w:val="20"/>
      <w:lang w:eastAsia="ru-RU"/>
    </w:rPr>
  </w:style>
  <w:style w:type="character" w:styleId="123" w:customStyle="1">
    <w:name w:val="Подзаголовок 1 Знак"/>
    <w:basedOn w:val="DefaultParagraphFont"/>
    <w:link w:val="1fff7"/>
    <w:qFormat/>
    <w:locked/>
    <w:rsid w:val="0024265d"/>
    <w:rPr>
      <w:rFonts w:ascii="Times New Roman" w:hAnsi="Times New Roman" w:eastAsia="Times New Roman" w:cs="Times New Roman"/>
      <w:sz w:val="28"/>
      <w:szCs w:val="28"/>
      <w:u w:val="single"/>
    </w:rPr>
  </w:style>
  <w:style w:type="character" w:styleId="Style43" w:customStyle="1">
    <w:name w:val="Таблица_НАЗВАНИЕ Знак"/>
    <w:basedOn w:val="DefaultParagraphFont"/>
    <w:link w:val="affffffff"/>
    <w:qFormat/>
    <w:locked/>
    <w:rsid w:val="0024265d"/>
    <w:rPr>
      <w:rFonts w:ascii="Times New Roman" w:hAnsi="Times New Roman" w:eastAsia="Times New Roman" w:cs="Times New Roman"/>
      <w:b/>
      <w:sz w:val="28"/>
      <w:szCs w:val="28"/>
    </w:rPr>
  </w:style>
  <w:style w:type="character" w:styleId="Style44" w:customStyle="1">
    <w:name w:val="Таблица НАЗВАНИЕ Знак"/>
    <w:basedOn w:val="DefaultParagraphFont"/>
    <w:link w:val="affffffff5"/>
    <w:uiPriority w:val="99"/>
    <w:qFormat/>
    <w:locked/>
    <w:rsid w:val="00bd306d"/>
    <w:rPr>
      <w:b/>
      <w:bCs/>
      <w:sz w:val="28"/>
      <w:szCs w:val="28"/>
    </w:rPr>
  </w:style>
  <w:style w:type="character" w:styleId="Style45" w:customStyle="1">
    <w:name w:val="Таблица № Знак"/>
    <w:basedOn w:val="DefaultParagraphFont"/>
    <w:link w:val="affffffff7"/>
    <w:uiPriority w:val="99"/>
    <w:qFormat/>
    <w:locked/>
    <w:rsid w:val="00bd306d"/>
    <w:rPr>
      <w:sz w:val="28"/>
      <w:szCs w:val="28"/>
    </w:rPr>
  </w:style>
  <w:style w:type="character" w:styleId="Style46" w:customStyle="1">
    <w:name w:val="Подзаголовок курсив Знак"/>
    <w:basedOn w:val="DefaultParagraphFont"/>
    <w:link w:val="affffffff9"/>
    <w:uiPriority w:val="99"/>
    <w:qFormat/>
    <w:locked/>
    <w:rsid w:val="00bd306d"/>
    <w:rPr>
      <w:i/>
      <w:iCs/>
      <w:sz w:val="28"/>
      <w:szCs w:val="28"/>
    </w:rPr>
  </w:style>
  <w:style w:type="character" w:styleId="Style47" w:customStyle="1">
    <w:name w:val="Таблица_НОМЕР Продолжение Знак"/>
    <w:basedOn w:val="DefaultParagraphFont"/>
    <w:link w:val="affffffffb"/>
    <w:qFormat/>
    <w:locked/>
    <w:rsid w:val="00436243"/>
    <w:rPr>
      <w:rFonts w:ascii="Times New Roman" w:hAnsi="Times New Roman" w:eastAsia="Times New Roman" w:cs="Times New Roman"/>
      <w:sz w:val="28"/>
      <w:szCs w:val="28"/>
      <w:lang w:eastAsia="ru-RU"/>
    </w:rPr>
  </w:style>
  <w:style w:type="character" w:styleId="Docsize" w:customStyle="1">
    <w:name w:val="doc_size"/>
    <w:basedOn w:val="DefaultParagraphFont"/>
    <w:qFormat/>
    <w:rsid w:val="00b302df"/>
    <w:rPr/>
  </w:style>
  <w:style w:type="character" w:styleId="Style48" w:customStyle="1">
    <w:name w:val="ГП_Обычный Знак"/>
    <w:link w:val="affffffffd"/>
    <w:qFormat/>
    <w:locked/>
    <w:rsid w:val="00b302df"/>
    <w:rPr>
      <w:rFonts w:ascii="Times New Roman" w:hAnsi="Times New Roman" w:eastAsia="Times New Roman" w:cs="Times New Roman"/>
      <w:sz w:val="24"/>
      <w:szCs w:val="24"/>
    </w:rPr>
  </w:style>
  <w:style w:type="character" w:styleId="Geonika" w:customStyle="1">
    <w:name w:val="Geonika Обычный текст Знак"/>
    <w:link w:val="Geonika0"/>
    <w:qFormat/>
    <w:rsid w:val="00b302df"/>
    <w:rPr>
      <w:rFonts w:ascii="Calibri" w:hAnsi="Calibri" w:eastAsia="Times New Roman" w:cs="Times New Roman"/>
      <w:sz w:val="24"/>
      <w:szCs w:val="24"/>
      <w:lang w:val="en-US" w:eastAsia="ar-SA" w:bidi="en-US"/>
    </w:rPr>
  </w:style>
  <w:style w:type="character" w:styleId="Geonika1" w:customStyle="1">
    <w:name w:val="Geonika Маркированый список Знак"/>
    <w:link w:val="Geonika"/>
    <w:qFormat/>
    <w:rsid w:val="00b302df"/>
    <w:rPr>
      <w:rFonts w:ascii="Calibri" w:hAnsi="Calibri" w:eastAsia="Times New Roman" w:cs="Times New Roman"/>
      <w:sz w:val="24"/>
      <w:szCs w:val="24"/>
      <w:lang w:val="en-US" w:bidi="en-US"/>
    </w:rPr>
  </w:style>
  <w:style w:type="character" w:styleId="Geonika2" w:customStyle="1">
    <w:name w:val="Geonika Подзаголовк Знак"/>
    <w:link w:val="Geonika3"/>
    <w:qFormat/>
    <w:rsid w:val="00b302df"/>
    <w:rPr>
      <w:rFonts w:ascii="Calibri" w:hAnsi="Calibri" w:eastAsia="Times New Roman" w:cs="Times New Roman"/>
      <w:b/>
      <w:sz w:val="24"/>
      <w:szCs w:val="24"/>
      <w:lang w:val="en-US" w:eastAsia="ar-SA" w:bidi="en-US"/>
    </w:rPr>
  </w:style>
  <w:style w:type="character" w:styleId="Western" w:customStyle="1">
    <w:name w:val="western Знак"/>
    <w:link w:val="western"/>
    <w:qFormat/>
    <w:rsid w:val="00b302df"/>
    <w:rPr>
      <w:rFonts w:ascii="Times New Roman" w:hAnsi="Times New Roman" w:eastAsia="Calibri" w:cs="Times New Roman"/>
      <w:sz w:val="24"/>
      <w:szCs w:val="24"/>
      <w:lang w:eastAsia="ru-RU"/>
    </w:rPr>
  </w:style>
  <w:style w:type="character" w:styleId="Style49" w:customStyle="1">
    <w:name w:val="Обычный (Интернет) Знак"/>
    <w:link w:val="ad"/>
    <w:uiPriority w:val="99"/>
    <w:qFormat/>
    <w:rsid w:val="00b302df"/>
    <w:rPr>
      <w:rFonts w:ascii="Times New Roman" w:hAnsi="Times New Roman" w:eastAsia="Times New Roman" w:cs="Times New Roman"/>
      <w:sz w:val="24"/>
      <w:szCs w:val="24"/>
      <w:lang w:eastAsia="ru-RU"/>
    </w:rPr>
  </w:style>
  <w:style w:type="character" w:styleId="FontStyle124" w:customStyle="1">
    <w:name w:val="Font Style124"/>
    <w:basedOn w:val="DefaultParagraphFont"/>
    <w:uiPriority w:val="99"/>
    <w:qFormat/>
    <w:rsid w:val="00b302df"/>
    <w:rPr>
      <w:rFonts w:ascii="Arial" w:hAnsi="Arial" w:cs="Arial"/>
      <w:sz w:val="22"/>
      <w:szCs w:val="22"/>
    </w:rPr>
  </w:style>
  <w:style w:type="character" w:styleId="Style50" w:customStyle="1">
    <w:name w:val="Абзац списка Знак"/>
    <w:basedOn w:val="DefaultParagraphFont"/>
    <w:link w:val="af4"/>
    <w:uiPriority w:val="34"/>
    <w:qFormat/>
    <w:locked/>
    <w:rsid w:val="00b302df"/>
    <w:rPr>
      <w:rFonts w:ascii="Times New Roman" w:hAnsi="Times New Roman" w:eastAsia="Calibri" w:cs="Times New Roman"/>
      <w:sz w:val="24"/>
    </w:rPr>
  </w:style>
  <w:style w:type="character" w:styleId="FontStyle68" w:customStyle="1">
    <w:name w:val="Font Style68"/>
    <w:qFormat/>
    <w:rsid w:val="00b302df"/>
    <w:rPr>
      <w:rFonts w:ascii="Times New Roman" w:hAnsi="Times New Roman" w:cs="Times New Roman"/>
      <w:sz w:val="20"/>
      <w:szCs w:val="20"/>
    </w:rPr>
  </w:style>
  <w:style w:type="character" w:styleId="S" w:customStyle="1">
    <w:name w:val="S_Обычный Знак"/>
    <w:basedOn w:val="DefaultParagraphFont"/>
    <w:link w:val="S0"/>
    <w:qFormat/>
    <w:locked/>
    <w:rsid w:val="00b302df"/>
    <w:rPr>
      <w:rFonts w:ascii="Times New Roman" w:hAnsi="Times New Roman" w:eastAsia="Times New Roman" w:cs="Times New Roman"/>
      <w:sz w:val="24"/>
      <w:szCs w:val="24"/>
      <w:lang w:eastAsia="ru-RU"/>
    </w:rPr>
  </w:style>
  <w:style w:type="character" w:styleId="1112" w:customStyle="1">
    <w:name w:val="Заголовок 1 Знак1"/>
    <w:basedOn w:val="DefaultParagraphFont"/>
    <w:qFormat/>
    <w:rsid w:val="00e17c39"/>
    <w:rPr>
      <w:rFonts w:ascii="Cambria" w:hAnsi="Cambria" w:eastAsia="" w:cs="" w:asciiTheme="majorHAnsi" w:cstheme="majorBidi" w:eastAsiaTheme="majorEastAsia" w:hAnsiTheme="majorHAnsi"/>
      <w:color w:val="365F91" w:themeColor="accent1" w:themeShade="bf"/>
      <w:sz w:val="32"/>
      <w:szCs w:val="32"/>
      <w:lang w:eastAsia="ru-RU"/>
    </w:rPr>
  </w:style>
  <w:style w:type="character" w:styleId="411" w:customStyle="1">
    <w:name w:val="Заголовок 4 Знак1"/>
    <w:basedOn w:val="DefaultParagraphFont"/>
    <w:semiHidden/>
    <w:qFormat/>
    <w:rsid w:val="00e17c39"/>
    <w:rPr>
      <w:rFonts w:ascii="Cambria" w:hAnsi="Cambria" w:eastAsia="" w:cs="" w:asciiTheme="majorHAnsi" w:cstheme="majorBidi" w:eastAsiaTheme="majorEastAsia" w:hAnsiTheme="majorHAnsi"/>
      <w:i/>
      <w:iCs/>
      <w:color w:val="365F91" w:themeColor="accent1" w:themeShade="bf"/>
      <w:sz w:val="24"/>
      <w:szCs w:val="24"/>
      <w:lang w:eastAsia="ru-RU"/>
    </w:rPr>
  </w:style>
  <w:style w:type="character" w:styleId="611" w:customStyle="1">
    <w:name w:val="Заголовок 6 Знак1"/>
    <w:basedOn w:val="DefaultParagraphFont"/>
    <w:uiPriority w:val="9"/>
    <w:semiHidden/>
    <w:qFormat/>
    <w:rsid w:val="00e17c39"/>
    <w:rPr>
      <w:rFonts w:ascii="Cambria" w:hAnsi="Cambria" w:eastAsia="" w:cs="" w:asciiTheme="majorHAnsi" w:cstheme="majorBidi" w:eastAsiaTheme="majorEastAsia" w:hAnsiTheme="majorHAnsi"/>
      <w:color w:val="243F60" w:themeColor="accent1" w:themeShade="7f"/>
      <w:sz w:val="24"/>
      <w:szCs w:val="24"/>
      <w:lang w:eastAsia="ru-RU"/>
    </w:rPr>
  </w:style>
  <w:style w:type="character" w:styleId="711" w:customStyle="1">
    <w:name w:val="Заголовок 7 Знак1"/>
    <w:basedOn w:val="DefaultParagraphFont"/>
    <w:uiPriority w:val="9"/>
    <w:semiHidden/>
    <w:qFormat/>
    <w:rsid w:val="00e17c39"/>
    <w:rPr>
      <w:rFonts w:ascii="Cambria" w:hAnsi="Cambria" w:eastAsia="" w:cs="" w:asciiTheme="majorHAnsi" w:cstheme="majorBidi" w:eastAsiaTheme="majorEastAsia" w:hAnsiTheme="majorHAnsi"/>
      <w:i/>
      <w:iCs/>
      <w:color w:val="243F60" w:themeColor="accent1" w:themeShade="7f"/>
      <w:sz w:val="24"/>
      <w:szCs w:val="24"/>
      <w:lang w:eastAsia="ru-RU"/>
    </w:rPr>
  </w:style>
  <w:style w:type="character" w:styleId="124" w:customStyle="1">
    <w:name w:val="Заголовок Знак1"/>
    <w:basedOn w:val="DefaultParagraphFont"/>
    <w:qFormat/>
    <w:rsid w:val="00e17c39"/>
    <w:rPr>
      <w:rFonts w:ascii="Cambria" w:hAnsi="Cambria" w:eastAsia="" w:cs="" w:asciiTheme="majorHAnsi" w:cstheme="majorBidi" w:eastAsiaTheme="majorEastAsia" w:hAnsiTheme="majorHAnsi"/>
      <w:spacing w:val="-10"/>
      <w:kern w:val="2"/>
      <w:sz w:val="56"/>
      <w:szCs w:val="56"/>
      <w:lang w:eastAsia="ru-RU"/>
    </w:rPr>
  </w:style>
  <w:style w:type="character" w:styleId="125" w:customStyle="1">
    <w:name w:val="Текст примечания Знак1"/>
    <w:basedOn w:val="DefaultParagraphFont"/>
    <w:uiPriority w:val="99"/>
    <w:semiHidden/>
    <w:qFormat/>
    <w:rsid w:val="00e17c39"/>
    <w:rPr>
      <w:rFonts w:ascii="Times New Roman" w:hAnsi="Times New Roman" w:eastAsia="Times New Roman" w:cs="Times New Roman"/>
      <w:sz w:val="20"/>
      <w:szCs w:val="20"/>
      <w:lang w:eastAsia="ru-RU"/>
    </w:rPr>
  </w:style>
  <w:style w:type="character" w:styleId="811" w:customStyle="1">
    <w:name w:val="Заголовок 8 Знак1"/>
    <w:basedOn w:val="DefaultParagraphFont"/>
    <w:semiHidden/>
    <w:qFormat/>
    <w:rsid w:val="00e17c39"/>
    <w:rPr>
      <w:rFonts w:ascii="Cambria" w:hAnsi="Cambria" w:eastAsia="" w:cs="" w:asciiTheme="majorHAnsi" w:cstheme="majorBidi" w:eastAsiaTheme="majorEastAsia" w:hAnsiTheme="majorHAnsi"/>
      <w:color w:val="272727" w:themeColor="text1" w:themeTint="d8"/>
      <w:sz w:val="21"/>
      <w:szCs w:val="21"/>
      <w:lang w:eastAsia="ru-RU"/>
    </w:rPr>
  </w:style>
  <w:style w:type="character" w:styleId="911" w:customStyle="1">
    <w:name w:val="Заголовок 9 Знак1"/>
    <w:basedOn w:val="DefaultParagraphFont"/>
    <w:semiHidden/>
    <w:qFormat/>
    <w:rsid w:val="00e17c39"/>
    <w:rPr>
      <w:rFonts w:ascii="Cambria" w:hAnsi="Cambria" w:eastAsia="" w:cs="" w:asciiTheme="majorHAnsi" w:cstheme="majorBidi" w:eastAsiaTheme="majorEastAsia" w:hAnsiTheme="majorHAnsi"/>
      <w:i/>
      <w:iCs/>
      <w:color w:val="272727" w:themeColor="text1" w:themeTint="d8"/>
      <w:sz w:val="21"/>
      <w:szCs w:val="21"/>
      <w:lang w:eastAsia="ru-RU"/>
    </w:rPr>
  </w:style>
  <w:style w:type="character" w:styleId="126" w:customStyle="1">
    <w:name w:val="Основной текст с отступом Знак1"/>
    <w:basedOn w:val="DefaultParagraphFont"/>
    <w:semiHidden/>
    <w:qFormat/>
    <w:rsid w:val="00e17c39"/>
    <w:rPr>
      <w:rFonts w:ascii="Times New Roman" w:hAnsi="Times New Roman" w:eastAsia="Times New Roman" w:cs="Times New Roman"/>
      <w:sz w:val="24"/>
      <w:szCs w:val="24"/>
      <w:lang w:eastAsia="ru-RU"/>
    </w:rPr>
  </w:style>
  <w:style w:type="character" w:styleId="127" w:customStyle="1">
    <w:name w:val="Тема примечания Знак1"/>
    <w:basedOn w:val="125"/>
    <w:uiPriority w:val="99"/>
    <w:semiHidden/>
    <w:qFormat/>
    <w:rsid w:val="00e17c39"/>
    <w:rPr>
      <w:rFonts w:ascii="Times New Roman" w:hAnsi="Times New Roman" w:eastAsia="Times New Roman" w:cs="Times New Roman"/>
      <w:b/>
      <w:bCs/>
      <w:sz w:val="20"/>
      <w:szCs w:val="20"/>
      <w:lang w:eastAsia="ru-RU"/>
    </w:rPr>
  </w:style>
  <w:style w:type="character" w:styleId="128" w:customStyle="1">
    <w:name w:val="Текст концевой сноски Знак1"/>
    <w:basedOn w:val="DefaultParagraphFont"/>
    <w:uiPriority w:val="99"/>
    <w:qFormat/>
    <w:rsid w:val="00e17c39"/>
    <w:rPr>
      <w:rFonts w:ascii="Times New Roman" w:hAnsi="Times New Roman" w:eastAsia="Times New Roman" w:cs="Times New Roman"/>
      <w:sz w:val="20"/>
      <w:szCs w:val="20"/>
      <w:lang w:eastAsia="ru-RU"/>
    </w:rPr>
  </w:style>
  <w:style w:type="character" w:styleId="129" w:customStyle="1">
    <w:name w:val="Текст сноски Знак1"/>
    <w:basedOn w:val="DefaultParagraphFont"/>
    <w:uiPriority w:val="99"/>
    <w:semiHidden/>
    <w:qFormat/>
    <w:rsid w:val="00e17c39"/>
    <w:rPr>
      <w:rFonts w:ascii="Times New Roman" w:hAnsi="Times New Roman" w:eastAsia="Times New Roman" w:cs="Times New Roman"/>
      <w:sz w:val="20"/>
      <w:szCs w:val="20"/>
      <w:lang w:eastAsia="ru-RU"/>
    </w:rPr>
  </w:style>
  <w:style w:type="character" w:styleId="218" w:customStyle="1">
    <w:name w:val="Основной текст с отступом 2 Знак1"/>
    <w:basedOn w:val="DefaultParagraphFont"/>
    <w:uiPriority w:val="99"/>
    <w:semiHidden/>
    <w:qFormat/>
    <w:rsid w:val="00e17c39"/>
    <w:rPr>
      <w:rFonts w:ascii="Times New Roman" w:hAnsi="Times New Roman" w:eastAsia="Times New Roman" w:cs="Times New Roman"/>
      <w:sz w:val="24"/>
      <w:szCs w:val="24"/>
      <w:lang w:eastAsia="ru-RU"/>
    </w:rPr>
  </w:style>
  <w:style w:type="character" w:styleId="82" w:customStyle="1">
    <w:name w:val="Основной текст + 8"/>
    <w:basedOn w:val="Style27"/>
    <w:qFormat/>
    <w:rsid w:val="00e17c39"/>
    <w:rPr>
      <w:rFonts w:ascii="Calibri" w:hAnsi="Calibri" w:eastAsia="Calibri" w:cs="Calibri"/>
      <w:i w:val="false"/>
      <w:iCs w:val="false"/>
      <w:caps w:val="false"/>
      <w:smallCaps w:val="false"/>
      <w:color w:val="000000"/>
      <w:spacing w:val="0"/>
      <w:w w:val="100"/>
      <w:sz w:val="63"/>
      <w:szCs w:val="63"/>
      <w:effect w:val="none"/>
      <w:shd w:fill="FFFFFF" w:val="clear"/>
      <w:lang w:eastAsia="ru-RU"/>
    </w:rPr>
  </w:style>
  <w:style w:type="character" w:styleId="8pt1" w:customStyle="1">
    <w:name w:val="Основной текст + 8 pt"/>
    <w:basedOn w:val="Style27"/>
    <w:qFormat/>
    <w:rsid w:val="00e17c39"/>
    <w:rPr>
      <w:rFonts w:ascii="Consolas" w:hAnsi="Consolas" w:eastAsia="Consolas" w:cs="Consolas"/>
      <w:i w:val="false"/>
      <w:iCs w:val="false"/>
      <w:caps w:val="false"/>
      <w:smallCaps w:val="false"/>
      <w:color w:val="000000"/>
      <w:spacing w:val="0"/>
      <w:w w:val="100"/>
      <w:sz w:val="12"/>
      <w:szCs w:val="12"/>
      <w:effect w:val="none"/>
      <w:shd w:fill="FFFFFF" w:val="clear"/>
      <w:lang w:val="ru-RU" w:eastAsia="ru-RU"/>
    </w:rPr>
  </w:style>
  <w:style w:type="character" w:styleId="ArialUnicodeMS" w:customStyle="1">
    <w:name w:val="Основной текст + Arial Unicode MS"/>
    <w:basedOn w:val="Style27"/>
    <w:qFormat/>
    <w:rsid w:val="00e17c39"/>
    <w:rPr>
      <w:rFonts w:ascii="Arial Unicode MS" w:hAnsi="Arial Unicode MS" w:eastAsia="Arial Unicode MS" w:cs="Arial Unicode MS"/>
      <w:i w:val="false"/>
      <w:iCs w:val="false"/>
      <w:caps w:val="false"/>
      <w:smallCaps w:val="false"/>
      <w:color w:val="000000"/>
      <w:spacing w:val="0"/>
      <w:w w:val="100"/>
      <w:sz w:val="18"/>
      <w:szCs w:val="18"/>
      <w:effect w:val="none"/>
      <w:shd w:fill="FFFFFF" w:val="clear"/>
      <w:lang w:val="ru-RU" w:eastAsia="ru-RU"/>
    </w:rPr>
  </w:style>
  <w:style w:type="character" w:styleId="Calibri" w:customStyle="1">
    <w:name w:val="Основной текст + Calibri"/>
    <w:basedOn w:val="Style27"/>
    <w:qFormat/>
    <w:rsid w:val="00e17c39"/>
    <w:rPr>
      <w:rFonts w:ascii="Calibri" w:hAnsi="Calibri" w:eastAsia="Calibri" w:cs="Calibri"/>
      <w:i w:val="false"/>
      <w:iCs w:val="false"/>
      <w:caps w:val="false"/>
      <w:smallCaps w:val="false"/>
      <w:color w:val="000000"/>
      <w:spacing w:val="0"/>
      <w:w w:val="100"/>
      <w:sz w:val="14"/>
      <w:szCs w:val="14"/>
      <w:effect w:val="none"/>
      <w:shd w:fill="FFFFFF" w:val="clear"/>
      <w:lang w:val="en-US" w:eastAsia="ru-RU"/>
    </w:rPr>
  </w:style>
  <w:style w:type="character" w:styleId="219" w:customStyle="1">
    <w:name w:val="Основной текст 2 Знак1"/>
    <w:basedOn w:val="DefaultParagraphFont"/>
    <w:uiPriority w:val="99"/>
    <w:semiHidden/>
    <w:qFormat/>
    <w:rsid w:val="00e17c39"/>
    <w:rPr>
      <w:rFonts w:ascii="Times New Roman" w:hAnsi="Times New Roman" w:eastAsia="Times New Roman" w:cs="Times New Roman"/>
      <w:sz w:val="24"/>
      <w:szCs w:val="24"/>
      <w:lang w:eastAsia="ru-RU"/>
    </w:rPr>
  </w:style>
  <w:style w:type="character" w:styleId="311" w:customStyle="1">
    <w:name w:val="Основной текст 3 Знак1"/>
    <w:basedOn w:val="DefaultParagraphFont"/>
    <w:uiPriority w:val="99"/>
    <w:semiHidden/>
    <w:qFormat/>
    <w:rsid w:val="00e17c39"/>
    <w:rPr>
      <w:rFonts w:ascii="Times New Roman" w:hAnsi="Times New Roman" w:eastAsia="Times New Roman" w:cs="Times New Roman"/>
      <w:sz w:val="16"/>
      <w:szCs w:val="16"/>
      <w:lang w:eastAsia="ru-RU"/>
    </w:rPr>
  </w:style>
  <w:style w:type="character" w:styleId="130" w:customStyle="1">
    <w:name w:val="Схема документа Знак1"/>
    <w:basedOn w:val="DefaultParagraphFont"/>
    <w:uiPriority w:val="99"/>
    <w:semiHidden/>
    <w:qFormat/>
    <w:rsid w:val="00e17c39"/>
    <w:rPr>
      <w:rFonts w:ascii="Segoe UI" w:hAnsi="Segoe UI" w:eastAsia="Times New Roman" w:cs="Segoe UI"/>
      <w:sz w:val="16"/>
      <w:szCs w:val="16"/>
      <w:lang w:eastAsia="ru-RU"/>
    </w:rPr>
  </w:style>
  <w:style w:type="character" w:styleId="131" w:customStyle="1">
    <w:name w:val="Текст Знак1"/>
    <w:basedOn w:val="DefaultParagraphFont"/>
    <w:semiHidden/>
    <w:qFormat/>
    <w:rsid w:val="00e17c39"/>
    <w:rPr>
      <w:rFonts w:ascii="Consolas" w:hAnsi="Consolas" w:eastAsia="Times New Roman" w:cs="Times New Roman"/>
      <w:sz w:val="21"/>
      <w:szCs w:val="21"/>
      <w:lang w:eastAsia="ru-RU"/>
    </w:rPr>
  </w:style>
  <w:style w:type="character" w:styleId="Headera5" w:customStyle="1">
    <w:name w:val="header_a5"/>
    <w:basedOn w:val="DefaultParagraphFont"/>
    <w:qFormat/>
    <w:rsid w:val="00e17c39"/>
    <w:rPr/>
  </w:style>
  <w:style w:type="character" w:styleId="Headera6" w:customStyle="1">
    <w:name w:val="header_a6"/>
    <w:basedOn w:val="DefaultParagraphFont"/>
    <w:qFormat/>
    <w:rsid w:val="00e17c39"/>
    <w:rPr/>
  </w:style>
  <w:style w:type="character" w:styleId="Style51" w:customStyle="1">
    <w:name w:val="ААОбычн Знак"/>
    <w:basedOn w:val="DefaultParagraphFont"/>
    <w:link w:val="afffffffff0"/>
    <w:qFormat/>
    <w:rsid w:val="00013906"/>
    <w:rPr>
      <w:rFonts w:ascii="Times New Roman" w:hAnsi="Times New Roman" w:eastAsia="Calibri" w:cs="Times New Roman"/>
      <w:sz w:val="24"/>
      <w:szCs w:val="24"/>
      <w:lang w:eastAsia="ru-RU"/>
    </w:rPr>
  </w:style>
  <w:style w:type="character" w:styleId="ZZZ" w:customStyle="1">
    <w:name w:val="ААZZZ Знак"/>
    <w:basedOn w:val="Style25"/>
    <w:link w:val="ZZZ"/>
    <w:qFormat/>
    <w:rsid w:val="00013906"/>
    <w:rPr>
      <w:rFonts w:ascii="Times New Roman" w:hAnsi="Times New Roman" w:eastAsia="Calibri" w:cs="Times New Roman"/>
      <w:b/>
      <w:bCs/>
      <w:sz w:val="24"/>
      <w:szCs w:val="24"/>
    </w:rPr>
  </w:style>
  <w:style w:type="character" w:styleId="Style52" w:customStyle="1">
    <w:name w:val="АПеречч Знак"/>
    <w:basedOn w:val="Style51"/>
    <w:link w:val="afffffffff2"/>
    <w:qFormat/>
    <w:rsid w:val="00a63850"/>
    <w:rPr>
      <w:rFonts w:ascii="Times New Roman" w:hAnsi="Times New Roman" w:eastAsia="Calibri" w:cs="Times New Roman"/>
      <w:sz w:val="24"/>
      <w:szCs w:val="24"/>
      <w:lang w:eastAsia="ru-RU"/>
    </w:rPr>
  </w:style>
  <w:style w:type="character" w:styleId="220" w:customStyle="1">
    <w:name w:val="А Заг 2 Знак"/>
    <w:basedOn w:val="21"/>
    <w:link w:val="2ff3"/>
    <w:qFormat/>
    <w:rsid w:val="00a63850"/>
    <w:rPr>
      <w:rFonts w:ascii="Times New Roman" w:hAnsi="Times New Roman" w:eastAsia="" w:cs="Times New Roman" w:eastAsiaTheme="majorEastAsia"/>
      <w:b/>
      <w:bCs/>
      <w:sz w:val="24"/>
      <w:szCs w:val="24"/>
    </w:rPr>
  </w:style>
  <w:style w:type="character" w:styleId="132" w:customStyle="1">
    <w:name w:val="А Заг 1 Знак"/>
    <w:basedOn w:val="11"/>
    <w:link w:val="1ffff1"/>
    <w:qFormat/>
    <w:rsid w:val="00a63850"/>
    <w:rPr>
      <w:rFonts w:ascii="Times New Roman" w:hAnsi="Times New Roman" w:eastAsia="Times New Roman" w:cs="Times New Roman"/>
      <w:b/>
      <w:bCs/>
      <w:kern w:val="2"/>
      <w:sz w:val="28"/>
      <w:szCs w:val="28"/>
      <w:lang w:bidi="en-US"/>
    </w:rPr>
  </w:style>
  <w:style w:type="character" w:styleId="37" w:customStyle="1">
    <w:name w:val="А Заг 3 Знак"/>
    <w:basedOn w:val="DefaultParagraphFont"/>
    <w:link w:val="3f0"/>
    <w:qFormat/>
    <w:rsid w:val="00a63850"/>
    <w:rPr>
      <w:rFonts w:ascii="Times New Roman" w:hAnsi="Times New Roman" w:eastAsia="Calibri" w:cs="Times New Roman"/>
      <w:b/>
      <w:i/>
      <w:sz w:val="24"/>
    </w:rPr>
  </w:style>
  <w:style w:type="character" w:styleId="38" w:customStyle="1">
    <w:name w:val="Основной текст с отступом 3 Знак"/>
    <w:basedOn w:val="DefaultParagraphFont"/>
    <w:link w:val="3f2"/>
    <w:qFormat/>
    <w:rsid w:val="00a63850"/>
    <w:rPr>
      <w:rFonts w:ascii="Times New Roman" w:hAnsi="Times New Roman" w:eastAsia="Times New Roman" w:cs="Times New Roman"/>
      <w:sz w:val="16"/>
      <w:szCs w:val="16"/>
      <w:lang w:eastAsia="ru-RU"/>
    </w:rPr>
  </w:style>
  <w:style w:type="character" w:styleId="Style53" w:customStyle="1">
    <w:name w:val="АААОбычн Знак"/>
    <w:link w:val="afffffffff5"/>
    <w:qFormat/>
    <w:rsid w:val="00a63850"/>
    <w:rPr>
      <w:rFonts w:ascii="Times New Roman" w:hAnsi="Times New Roman" w:cs="Times New Roman"/>
      <w:sz w:val="28"/>
      <w:szCs w:val="28"/>
    </w:rPr>
  </w:style>
  <w:style w:type="character" w:styleId="133" w:customStyle="1">
    <w:name w:val="ААЗаг1 Знак"/>
    <w:basedOn w:val="11"/>
    <w:link w:val="1ffff4"/>
    <w:qFormat/>
    <w:rsid w:val="00a63850"/>
    <w:rPr>
      <w:rFonts w:ascii="Times New Roman" w:hAnsi="Times New Roman" w:eastAsia="Times New Roman" w:cs="Times New Roman"/>
      <w:b/>
      <w:bCs/>
      <w:kern w:val="2"/>
      <w:sz w:val="32"/>
      <w:szCs w:val="32"/>
      <w:lang w:eastAsia="ru-RU"/>
    </w:rPr>
  </w:style>
  <w:style w:type="character" w:styleId="39" w:customStyle="1">
    <w:name w:val="ААЗаг3 Знак"/>
    <w:basedOn w:val="31"/>
    <w:link w:val="3f6"/>
    <w:qFormat/>
    <w:rsid w:val="00a63850"/>
    <w:rPr>
      <w:rFonts w:ascii="Times New Roman" w:hAnsi="Times New Roman" w:eastAsia="Times New Roman" w:cs="Times New Roman"/>
      <w:b w:val="false"/>
      <w:bCs/>
      <w:i/>
      <w:sz w:val="28"/>
      <w:szCs w:val="28"/>
      <w:lang w:eastAsia="ru-RU"/>
    </w:rPr>
  </w:style>
  <w:style w:type="character" w:styleId="Style54" w:customStyle="1">
    <w:name w:val="ААТАБЛ Знак"/>
    <w:basedOn w:val="Style12"/>
    <w:link w:val="afffffffff7"/>
    <w:uiPriority w:val="99"/>
    <w:qFormat/>
    <w:rsid w:val="00a63850"/>
    <w:rPr>
      <w:rFonts w:ascii="Times New Roman" w:hAnsi="Times New Roman" w:eastAsia="Microsoft YaHei" w:cs="Times New Roman"/>
      <w:b w:val="false"/>
      <w:bCs w:val="false"/>
      <w:i/>
      <w:iCs/>
      <w:color w:val="4F81BD"/>
      <w:spacing w:val="-5"/>
      <w:sz w:val="24"/>
      <w:szCs w:val="24"/>
    </w:rPr>
  </w:style>
  <w:style w:type="character" w:styleId="Style55" w:customStyle="1">
    <w:name w:val="ААТЕКВТ Знак"/>
    <w:basedOn w:val="DefaultParagraphFont"/>
    <w:link w:val="afffffffff9"/>
    <w:qFormat/>
    <w:rsid w:val="00a63850"/>
    <w:rPr>
      <w:rFonts w:ascii="Times New Roman" w:hAnsi="Times New Roman" w:cs="Times New Roman"/>
      <w:sz w:val="20"/>
      <w:szCs w:val="20"/>
    </w:rPr>
  </w:style>
  <w:style w:type="character" w:styleId="Style56" w:customStyle="1">
    <w:name w:val="ААПодзаг Знак"/>
    <w:basedOn w:val="DefaultParagraphFont"/>
    <w:link w:val="afffffffffb"/>
    <w:qFormat/>
    <w:rsid w:val="00a63850"/>
    <w:rPr>
      <w:rFonts w:ascii="Times New Roman" w:hAnsi="Times New Roman" w:cs="Times New Roman"/>
      <w:i/>
      <w:sz w:val="28"/>
      <w:szCs w:val="28"/>
    </w:rPr>
  </w:style>
  <w:style w:type="character" w:styleId="0pt" w:customStyle="1">
    <w:name w:val="Основной текст + Полужирный;Интервал 0 pt"/>
    <w:basedOn w:val="Style27"/>
    <w:qFormat/>
    <w:rsid w:val="00a63850"/>
    <w:rPr>
      <w:rFonts w:ascii="Times New Roman" w:hAnsi="Times New Roman" w:eastAsia="Times New Roman" w:cs="Times New Roman"/>
      <w:i w:val="false"/>
      <w:iCs w:val="false"/>
      <w:caps w:val="false"/>
      <w:smallCaps w:val="false"/>
      <w:color w:val="000000"/>
      <w:spacing w:val="0"/>
      <w:w w:val="100"/>
      <w:sz w:val="24"/>
      <w:szCs w:val="24"/>
      <w:shd w:fill="FFFFFF" w:val="clear"/>
      <w:lang w:val="ru-RU" w:eastAsia="ru-RU" w:bidi="ru-RU"/>
    </w:rPr>
  </w:style>
  <w:style w:type="character" w:styleId="221" w:customStyle="1">
    <w:name w:val="Основной текст2"/>
    <w:basedOn w:val="Style27"/>
    <w:qFormat/>
    <w:rsid w:val="00a63850"/>
    <w:rPr>
      <w:rFonts w:ascii="Times New Roman" w:hAnsi="Times New Roman" w:eastAsia="Times New Roman" w:cs="Times New Roman"/>
      <w:i w:val="false"/>
      <w:iCs w:val="false"/>
      <w:caps w:val="false"/>
      <w:smallCaps w:val="false"/>
      <w:color w:val="000000"/>
      <w:spacing w:val="1"/>
      <w:w w:val="100"/>
      <w:sz w:val="24"/>
      <w:szCs w:val="24"/>
      <w:shd w:fill="FFFFFF" w:val="clear"/>
      <w:lang w:val="ru-RU" w:eastAsia="ru-RU" w:bidi="ru-RU"/>
    </w:rPr>
  </w:style>
  <w:style w:type="character" w:styleId="85pt9pt" w:customStyle="1">
    <w:name w:val="Основной текст + 8;5 pt;Полужирный;Интервал 9 pt"/>
    <w:basedOn w:val="Style27"/>
    <w:qFormat/>
    <w:rsid w:val="00a63850"/>
    <w:rPr>
      <w:rFonts w:ascii="Times New Roman" w:hAnsi="Times New Roman" w:eastAsia="Times New Roman" w:cs="Times New Roman"/>
      <w:i w:val="false"/>
      <w:iCs w:val="false"/>
      <w:caps w:val="false"/>
      <w:smallCaps w:val="false"/>
      <w:color w:val="000000"/>
      <w:spacing w:val="183"/>
      <w:w w:val="100"/>
      <w:sz w:val="17"/>
      <w:szCs w:val="17"/>
      <w:shd w:fill="FFFFFF" w:val="clear"/>
      <w:lang w:val="ru-RU" w:eastAsia="ru-RU" w:bidi="ru-RU"/>
    </w:rPr>
  </w:style>
  <w:style w:type="character" w:styleId="115pt0pt" w:customStyle="1">
    <w:name w:val="Основной текст + 11;5 pt;Полужирный;Интервал 0 pt"/>
    <w:basedOn w:val="Style27"/>
    <w:qFormat/>
    <w:rsid w:val="00a63850"/>
    <w:rPr>
      <w:rFonts w:ascii="Times New Roman" w:hAnsi="Times New Roman" w:eastAsia="Times New Roman" w:cs="Times New Roman"/>
      <w:i w:val="false"/>
      <w:iCs w:val="false"/>
      <w:caps w:val="false"/>
      <w:smallCaps w:val="false"/>
      <w:color w:val="000000"/>
      <w:spacing w:val="2"/>
      <w:w w:val="100"/>
      <w:sz w:val="23"/>
      <w:szCs w:val="23"/>
      <w:shd w:fill="FFFFFF" w:val="clear"/>
      <w:lang w:val="ru-RU" w:eastAsia="ru-RU" w:bidi="ru-RU"/>
    </w:rPr>
  </w:style>
  <w:style w:type="character" w:styleId="105pt0pt" w:customStyle="1">
    <w:name w:val="Основной текст + 10;5 pt;Интервал 0 pt"/>
    <w:basedOn w:val="Style27"/>
    <w:qFormat/>
    <w:rsid w:val="00a63850"/>
    <w:rPr>
      <w:rFonts w:ascii="Times New Roman" w:hAnsi="Times New Roman" w:eastAsia="Times New Roman" w:cs="Times New Roman"/>
      <w:i w:val="false"/>
      <w:iCs w:val="false"/>
      <w:caps w:val="false"/>
      <w:smallCaps w:val="false"/>
      <w:color w:val="000000"/>
      <w:spacing w:val="3"/>
      <w:w w:val="100"/>
      <w:sz w:val="21"/>
      <w:szCs w:val="21"/>
      <w:shd w:fill="FFFFFF" w:val="clear"/>
      <w:lang w:val="ru-RU" w:eastAsia="ru-RU" w:bidi="ru-RU"/>
    </w:rPr>
  </w:style>
  <w:style w:type="character" w:styleId="0pt1" w:customStyle="1">
    <w:name w:val="Основной текст + Интервал 0 pt"/>
    <w:basedOn w:val="Style27"/>
    <w:qFormat/>
    <w:rsid w:val="00a63850"/>
    <w:rPr>
      <w:rFonts w:ascii="Times New Roman" w:hAnsi="Times New Roman" w:eastAsia="Times New Roman" w:cs="Times New Roman"/>
      <w:i w:val="false"/>
      <w:iCs w:val="false"/>
      <w:caps w:val="false"/>
      <w:smallCaps w:val="false"/>
      <w:color w:val="000000"/>
      <w:spacing w:val="2"/>
      <w:w w:val="100"/>
      <w:sz w:val="24"/>
      <w:szCs w:val="24"/>
      <w:shd w:fill="FFFFFF" w:val="clear"/>
      <w:lang w:val="ru-RU" w:eastAsia="ru-RU" w:bidi="ru-RU"/>
    </w:rPr>
  </w:style>
  <w:style w:type="character" w:styleId="Style57" w:customStyle="1">
    <w:name w:val="Основной текст + Полужирный"/>
    <w:basedOn w:val="Style27"/>
    <w:qFormat/>
    <w:rsid w:val="00a63850"/>
    <w:rPr>
      <w:rFonts w:ascii="Times New Roman" w:hAnsi="Times New Roman" w:eastAsia="Times New Roman" w:cs="Times New Roman"/>
      <w:i w:val="false"/>
      <w:iCs w:val="false"/>
      <w:caps w:val="false"/>
      <w:smallCaps w:val="false"/>
      <w:color w:val="000000"/>
      <w:spacing w:val="1"/>
      <w:w w:val="100"/>
      <w:sz w:val="24"/>
      <w:szCs w:val="24"/>
      <w:shd w:fill="FFFFFF" w:val="clear"/>
      <w:lang w:val="ru-RU" w:eastAsia="ru-RU" w:bidi="ru-RU"/>
    </w:rPr>
  </w:style>
  <w:style w:type="character" w:styleId="222" w:customStyle="1">
    <w:name w:val="Основной текст (2)_"/>
    <w:basedOn w:val="DefaultParagraphFont"/>
    <w:link w:val="2ff8"/>
    <w:qFormat/>
    <w:rsid w:val="00a63850"/>
    <w:rPr>
      <w:rFonts w:ascii="Times New Roman" w:hAnsi="Times New Roman" w:eastAsia="Times New Roman" w:cs="Times New Roman"/>
      <w:shd w:fill="FFFFFF" w:val="clear"/>
    </w:rPr>
  </w:style>
  <w:style w:type="character" w:styleId="20pt" w:customStyle="1">
    <w:name w:val="Основной текст (2) + Интервал 0 pt"/>
    <w:basedOn w:val="222"/>
    <w:qFormat/>
    <w:rsid w:val="00a63850"/>
    <w:rPr>
      <w:rFonts w:ascii="Times New Roman" w:hAnsi="Times New Roman" w:eastAsia="Times New Roman" w:cs="Times New Roman"/>
      <w:color w:val="000000"/>
      <w:spacing w:val="1"/>
      <w:w w:val="100"/>
      <w:sz w:val="24"/>
      <w:szCs w:val="24"/>
      <w:shd w:fill="FFFFFF" w:val="clear"/>
      <w:lang w:val="ru-RU" w:eastAsia="ru-RU" w:bidi="ru-RU"/>
    </w:rPr>
  </w:style>
  <w:style w:type="character" w:styleId="8pt0pt" w:customStyle="1">
    <w:name w:val="Основной текст + 8 pt;Интервал 0 pt"/>
    <w:basedOn w:val="Style27"/>
    <w:qFormat/>
    <w:rsid w:val="00a63850"/>
    <w:rPr>
      <w:rFonts w:ascii="Times New Roman" w:hAnsi="Times New Roman" w:eastAsia="Times New Roman" w:cs="Times New Roman"/>
      <w:i w:val="false"/>
      <w:iCs w:val="false"/>
      <w:caps w:val="false"/>
      <w:smallCaps w:val="false"/>
      <w:color w:val="000000"/>
      <w:spacing w:val="0"/>
      <w:w w:val="100"/>
      <w:sz w:val="16"/>
      <w:szCs w:val="16"/>
      <w:shd w:fill="FFFFFF" w:val="clear"/>
      <w:lang w:val="ru-RU" w:eastAsia="ru-RU" w:bidi="ru-RU"/>
    </w:rPr>
  </w:style>
  <w:style w:type="character" w:styleId="310" w:customStyle="1">
    <w:name w:val="Основной текст (3)_"/>
    <w:basedOn w:val="DefaultParagraphFont"/>
    <w:link w:val="3f9"/>
    <w:qFormat/>
    <w:rsid w:val="00a63850"/>
    <w:rPr>
      <w:rFonts w:ascii="Times New Roman" w:hAnsi="Times New Roman" w:eastAsia="Times New Roman" w:cs="Times New Roman"/>
      <w:spacing w:val="183"/>
      <w:sz w:val="17"/>
      <w:szCs w:val="17"/>
      <w:shd w:fill="FFFFFF" w:val="clear"/>
    </w:rPr>
  </w:style>
  <w:style w:type="character" w:styleId="0pt2" w:customStyle="1">
    <w:name w:val="Подпись к таблице + Интервал 0 pt"/>
    <w:basedOn w:val="DefaultParagraphFont"/>
    <w:qFormat/>
    <w:rsid w:val="00a63850"/>
    <w:rPr>
      <w:rFonts w:ascii="Times New Roman" w:hAnsi="Times New Roman" w:eastAsia="Times New Roman" w:cs="Times New Roman"/>
      <w:b w:val="false"/>
      <w:bCs w:val="false"/>
      <w:i w:val="false"/>
      <w:iCs w:val="false"/>
      <w:caps w:val="false"/>
      <w:smallCaps w:val="false"/>
      <w:strike w:val="false"/>
      <w:dstrike w:val="false"/>
      <w:color w:val="000000"/>
      <w:spacing w:val="2"/>
      <w:w w:val="100"/>
      <w:sz w:val="24"/>
      <w:szCs w:val="24"/>
      <w:u w:val="none"/>
      <w:lang w:val="ru-RU" w:eastAsia="ru-RU" w:bidi="ru-RU"/>
    </w:rPr>
  </w:style>
  <w:style w:type="character" w:styleId="8pt0pt1" w:customStyle="1">
    <w:name w:val="Основной текст + 8 pt;Полужирный;Интервал 0 pt"/>
    <w:basedOn w:val="Style27"/>
    <w:qFormat/>
    <w:rsid w:val="00a63850"/>
    <w:rPr>
      <w:rFonts w:ascii="Times New Roman" w:hAnsi="Times New Roman" w:eastAsia="Times New Roman" w:cs="Times New Roman"/>
      <w:i w:val="false"/>
      <w:iCs w:val="false"/>
      <w:caps w:val="false"/>
      <w:smallCaps w:val="false"/>
      <w:color w:val="000000"/>
      <w:spacing w:val="0"/>
      <w:w w:val="100"/>
      <w:sz w:val="16"/>
      <w:szCs w:val="16"/>
      <w:shd w:fill="FFFFFF" w:val="clear"/>
      <w:lang w:val="ru-RU" w:eastAsia="ru-RU" w:bidi="ru-RU"/>
    </w:rPr>
  </w:style>
  <w:style w:type="character" w:styleId="105pt0pt1" w:customStyle="1">
    <w:name w:val="Основной текст + 10;5 pt;Полужирный;Интервал 0 pt"/>
    <w:basedOn w:val="Style27"/>
    <w:qFormat/>
    <w:rsid w:val="00a63850"/>
    <w:rPr>
      <w:rFonts w:ascii="Times New Roman" w:hAnsi="Times New Roman" w:eastAsia="Times New Roman" w:cs="Times New Roman"/>
      <w:i w:val="false"/>
      <w:iCs w:val="false"/>
      <w:caps w:val="false"/>
      <w:smallCaps w:val="false"/>
      <w:color w:val="000000"/>
      <w:spacing w:val="5"/>
      <w:w w:val="100"/>
      <w:sz w:val="21"/>
      <w:szCs w:val="21"/>
      <w:shd w:fill="FFFFFF" w:val="clear"/>
      <w:lang w:val="ru-RU" w:eastAsia="ru-RU" w:bidi="ru-RU"/>
    </w:rPr>
  </w:style>
  <w:style w:type="character" w:styleId="44" w:customStyle="1">
    <w:name w:val="Основной текст4"/>
    <w:basedOn w:val="Style27"/>
    <w:qFormat/>
    <w:rsid w:val="00a63850"/>
    <w:rPr>
      <w:rFonts w:ascii="Times New Roman" w:hAnsi="Times New Roman" w:eastAsia="Times New Roman" w:cs="Times New Roman"/>
      <w:i w:val="false"/>
      <w:iCs w:val="false"/>
      <w:caps w:val="false"/>
      <w:smallCaps w:val="false"/>
      <w:color w:val="000000"/>
      <w:spacing w:val="4"/>
      <w:w w:val="100"/>
      <w:sz w:val="24"/>
      <w:szCs w:val="24"/>
      <w:shd w:fill="FFFFFF" w:val="clear"/>
      <w:lang w:val="ru-RU" w:eastAsia="ru-RU" w:bidi="ru-RU"/>
    </w:rPr>
  </w:style>
  <w:style w:type="character" w:styleId="4pt0pt" w:customStyle="1">
    <w:name w:val="Основной текст + 4 pt;Интервал 0 pt"/>
    <w:basedOn w:val="Style27"/>
    <w:qFormat/>
    <w:rsid w:val="00a63850"/>
    <w:rPr>
      <w:rFonts w:ascii="Times New Roman" w:hAnsi="Times New Roman" w:eastAsia="Times New Roman" w:cs="Times New Roman"/>
      <w:i w:val="false"/>
      <w:iCs w:val="false"/>
      <w:caps w:val="false"/>
      <w:smallCaps w:val="false"/>
      <w:color w:val="000000"/>
      <w:spacing w:val="0"/>
      <w:w w:val="100"/>
      <w:sz w:val="8"/>
      <w:szCs w:val="8"/>
      <w:shd w:fill="FFFFFF" w:val="clear"/>
      <w:lang w:val="ru-RU" w:eastAsia="ru-RU" w:bidi="ru-RU"/>
    </w:rPr>
  </w:style>
  <w:style w:type="character" w:styleId="ArialUnicodeMS4pt0pt" w:customStyle="1">
    <w:name w:val="Основной текст + Arial Unicode MS;4 pt;Интервал 0 pt"/>
    <w:basedOn w:val="Style27"/>
    <w:qFormat/>
    <w:rsid w:val="00a63850"/>
    <w:rPr>
      <w:rFonts w:ascii="Arial Unicode MS" w:hAnsi="Arial Unicode MS" w:eastAsia="Arial Unicode MS" w:cs="Arial Unicode MS"/>
      <w:i w:val="false"/>
      <w:iCs w:val="false"/>
      <w:caps w:val="false"/>
      <w:smallCaps w:val="false"/>
      <w:color w:val="000000"/>
      <w:spacing w:val="0"/>
      <w:w w:val="100"/>
      <w:sz w:val="8"/>
      <w:szCs w:val="8"/>
      <w:shd w:fill="FFFFFF" w:val="clear"/>
      <w:lang w:val="ru-RU" w:eastAsia="ru-RU" w:bidi="ru-RU"/>
    </w:rPr>
  </w:style>
  <w:style w:type="character" w:styleId="9pt" w:customStyle="1">
    <w:name w:val="Основной текст + 9 pt"/>
    <w:basedOn w:val="Style27"/>
    <w:qFormat/>
    <w:rsid w:val="00a63850"/>
    <w:rPr>
      <w:rFonts w:ascii="Times New Roman" w:hAnsi="Times New Roman" w:eastAsia="Times New Roman" w:cs="Times New Roman"/>
      <w:i w:val="false"/>
      <w:iCs w:val="false"/>
      <w:caps w:val="false"/>
      <w:smallCaps w:val="false"/>
      <w:color w:val="000000"/>
      <w:spacing w:val="4"/>
      <w:w w:val="100"/>
      <w:sz w:val="18"/>
      <w:szCs w:val="18"/>
      <w:shd w:fill="FFFFFF" w:val="clear"/>
      <w:lang w:val="ru-RU" w:eastAsia="ru-RU" w:bidi="ru-RU"/>
    </w:rPr>
  </w:style>
  <w:style w:type="character" w:styleId="9pt0pt" w:customStyle="1">
    <w:name w:val="Основной текст + 9 pt;Полужирный;Курсив;Интервал 0 pt"/>
    <w:basedOn w:val="Style27"/>
    <w:qFormat/>
    <w:rsid w:val="00a63850"/>
    <w:rPr>
      <w:rFonts w:ascii="Times New Roman" w:hAnsi="Times New Roman" w:eastAsia="Times New Roman" w:cs="Times New Roman"/>
      <w:i/>
      <w:iCs/>
      <w:caps w:val="false"/>
      <w:smallCaps w:val="false"/>
      <w:color w:val="000000"/>
      <w:spacing w:val="14"/>
      <w:w w:val="100"/>
      <w:sz w:val="18"/>
      <w:szCs w:val="18"/>
      <w:shd w:fill="FFFFFF" w:val="clear"/>
      <w:lang w:val="ru-RU" w:eastAsia="ru-RU" w:bidi="ru-RU"/>
    </w:rPr>
  </w:style>
  <w:style w:type="character" w:styleId="95pt0pt" w:customStyle="1">
    <w:name w:val="Основной текст + 9;5 pt;Интервал 0 pt"/>
    <w:basedOn w:val="Style27"/>
    <w:qFormat/>
    <w:rsid w:val="00a63850"/>
    <w:rPr>
      <w:rFonts w:ascii="Times New Roman" w:hAnsi="Times New Roman" w:eastAsia="Times New Roman" w:cs="Times New Roman"/>
      <w:i w:val="false"/>
      <w:iCs w:val="false"/>
      <w:caps w:val="false"/>
      <w:smallCaps w:val="false"/>
      <w:color w:val="000000"/>
      <w:spacing w:val="-3"/>
      <w:w w:val="100"/>
      <w:sz w:val="19"/>
      <w:szCs w:val="19"/>
      <w:shd w:fill="FFFFFF" w:val="clear"/>
      <w:lang w:val="ru-RU" w:eastAsia="ru-RU" w:bidi="ru-RU"/>
    </w:rPr>
  </w:style>
  <w:style w:type="character" w:styleId="261" w:customStyle="1">
    <w:name w:val="Основной текст (26)"/>
    <w:basedOn w:val="DefaultParagraphFont"/>
    <w:qFormat/>
    <w:rsid w:val="00a63850"/>
    <w:rPr>
      <w:rFonts w:ascii="Times New Roman" w:hAnsi="Times New Roman" w:eastAsia="Times New Roman" w:cs="Times New Roman"/>
      <w:b/>
      <w:bCs/>
      <w:i w:val="false"/>
      <w:iCs w:val="false"/>
      <w:caps w:val="false"/>
      <w:smallCaps w:val="false"/>
      <w:strike w:val="false"/>
      <w:dstrike w:val="false"/>
      <w:color w:val="000000"/>
      <w:spacing w:val="5"/>
      <w:w w:val="100"/>
      <w:sz w:val="21"/>
      <w:szCs w:val="21"/>
      <w:u w:val="none"/>
      <w:lang w:val="ru-RU" w:eastAsia="ru-RU" w:bidi="ru-RU"/>
    </w:rPr>
  </w:style>
  <w:style w:type="character" w:styleId="72" w:customStyle="1">
    <w:name w:val="Заголовок №7_"/>
    <w:basedOn w:val="DefaultParagraphFont"/>
    <w:link w:val="75"/>
    <w:qFormat/>
    <w:rsid w:val="00a63850"/>
    <w:rPr>
      <w:rFonts w:ascii="Times New Roman" w:hAnsi="Times New Roman" w:eastAsia="Times New Roman" w:cs="Times New Roman"/>
      <w:spacing w:val="6"/>
      <w:shd w:fill="FFFFFF" w:val="clear"/>
    </w:rPr>
  </w:style>
  <w:style w:type="character" w:styleId="TrebuchetMS10pt0pt" w:customStyle="1">
    <w:name w:val="Основной текст + Trebuchet MS;10 pt;Интервал 0 pt"/>
    <w:basedOn w:val="Style27"/>
    <w:qFormat/>
    <w:rsid w:val="00a63850"/>
    <w:rPr>
      <w:rFonts w:ascii="Trebuchet MS" w:hAnsi="Trebuchet MS" w:eastAsia="Trebuchet MS" w:cs="Trebuchet MS"/>
      <w:i w:val="false"/>
      <w:iCs w:val="false"/>
      <w:caps w:val="false"/>
      <w:smallCaps w:val="false"/>
      <w:color w:val="000000"/>
      <w:spacing w:val="0"/>
      <w:w w:val="100"/>
      <w:sz w:val="20"/>
      <w:szCs w:val="20"/>
      <w:shd w:fill="FFFFFF" w:val="clear"/>
      <w:lang w:val="ru-RU" w:eastAsia="ru-RU" w:bidi="ru-RU"/>
    </w:rPr>
  </w:style>
  <w:style w:type="character" w:styleId="262" w:customStyle="1">
    <w:name w:val="Основной текст (26)_"/>
    <w:basedOn w:val="DefaultParagraphFont"/>
    <w:qFormat/>
    <w:rsid w:val="00a63850"/>
    <w:rPr>
      <w:rFonts w:ascii="Times New Roman" w:hAnsi="Times New Roman" w:eastAsia="Times New Roman" w:cs="Times New Roman"/>
      <w:b/>
      <w:bCs/>
      <w:i w:val="false"/>
      <w:iCs w:val="false"/>
      <w:caps w:val="false"/>
      <w:smallCaps w:val="false"/>
      <w:strike w:val="false"/>
      <w:dstrike w:val="false"/>
      <w:spacing w:val="5"/>
      <w:sz w:val="21"/>
      <w:szCs w:val="21"/>
      <w:u w:val="none"/>
    </w:rPr>
  </w:style>
  <w:style w:type="character" w:styleId="73" w:customStyle="1">
    <w:name w:val="Подпись к таблице (7)_"/>
    <w:basedOn w:val="DefaultParagraphFont"/>
    <w:link w:val="77"/>
    <w:qFormat/>
    <w:rsid w:val="00a63850"/>
    <w:rPr>
      <w:rFonts w:ascii="Times New Roman" w:hAnsi="Times New Roman" w:eastAsia="Times New Roman" w:cs="Times New Roman"/>
      <w:spacing w:val="5"/>
      <w:sz w:val="21"/>
      <w:szCs w:val="21"/>
      <w:shd w:fill="FFFFFF" w:val="clear"/>
    </w:rPr>
  </w:style>
  <w:style w:type="character" w:styleId="Watchtitle" w:customStyle="1">
    <w:name w:val="watch-title"/>
    <w:basedOn w:val="DefaultParagraphFont"/>
    <w:qFormat/>
    <w:rsid w:val="00a63850"/>
    <w:rPr/>
  </w:style>
  <w:style w:type="character" w:styleId="Style58" w:customStyle="1">
    <w:name w:val="АААПодзаг Знак"/>
    <w:basedOn w:val="Style56"/>
    <w:link w:val="afffffffffe"/>
    <w:qFormat/>
    <w:rsid w:val="00a63850"/>
    <w:rPr>
      <w:rFonts w:ascii="Times New Roman" w:hAnsi="Times New Roman" w:cs="Times New Roman"/>
      <w:i/>
      <w:sz w:val="28"/>
      <w:szCs w:val="28"/>
    </w:rPr>
  </w:style>
  <w:style w:type="character" w:styleId="FontStyle30" w:customStyle="1">
    <w:name w:val="Font Style30"/>
    <w:basedOn w:val="DefaultParagraphFont"/>
    <w:qFormat/>
    <w:rsid w:val="00a63850"/>
    <w:rPr>
      <w:rFonts w:ascii="Times New Roman" w:hAnsi="Times New Roman" w:cs="Times New Roman"/>
      <w:sz w:val="26"/>
      <w:szCs w:val="26"/>
    </w:rPr>
  </w:style>
  <w:style w:type="character" w:styleId="Blue" w:customStyle="1">
    <w:name w:val="blue"/>
    <w:basedOn w:val="DefaultParagraphFont"/>
    <w:qFormat/>
    <w:rsid w:val="00a63850"/>
    <w:rPr/>
  </w:style>
  <w:style w:type="character" w:styleId="FontStyle20" w:customStyle="1">
    <w:name w:val="Font Style20"/>
    <w:qFormat/>
    <w:rsid w:val="00a63850"/>
    <w:rPr>
      <w:rFonts w:ascii="Times New Roman" w:hAnsi="Times New Roman" w:cs="Times New Roman"/>
      <w:sz w:val="26"/>
      <w:szCs w:val="26"/>
    </w:rPr>
  </w:style>
  <w:style w:type="character" w:styleId="Hlnormal1" w:customStyle="1">
    <w:name w:val="hlnormal1"/>
    <w:qFormat/>
    <w:rsid w:val="00a63850"/>
    <w:rPr>
      <w:rFonts w:ascii="Arial" w:hAnsi="Arial" w:cs="Arial"/>
      <w:sz w:val="20"/>
      <w:szCs w:val="20"/>
    </w:rPr>
  </w:style>
  <w:style w:type="character" w:styleId="62" w:customStyle="1">
    <w:name w:val="Знак Знак6"/>
    <w:qFormat/>
    <w:locked/>
    <w:rsid w:val="00a63850"/>
    <w:rPr>
      <w:b/>
      <w:sz w:val="28"/>
      <w:lang w:val="ru-RU" w:eastAsia="ru-RU" w:bidi="ar-SA"/>
    </w:rPr>
  </w:style>
  <w:style w:type="character" w:styleId="Hl01" w:customStyle="1">
    <w:name w:val="hl01"/>
    <w:qFormat/>
    <w:rsid w:val="00a63850"/>
    <w:rPr>
      <w:b/>
      <w:bCs/>
      <w:sz w:val="24"/>
      <w:szCs w:val="24"/>
    </w:rPr>
  </w:style>
  <w:style w:type="character" w:styleId="FontStyle21" w:customStyle="1">
    <w:name w:val="Font Style21"/>
    <w:qFormat/>
    <w:rsid w:val="00a63850"/>
    <w:rPr>
      <w:rFonts w:ascii="Times New Roman" w:hAnsi="Times New Roman" w:cs="Times New Roman"/>
      <w:sz w:val="18"/>
      <w:szCs w:val="18"/>
    </w:rPr>
  </w:style>
  <w:style w:type="character" w:styleId="Style59" w:customStyle="1">
    <w:name w:val="Основной шрифт"/>
    <w:qFormat/>
    <w:rsid w:val="00a63850"/>
    <w:rPr/>
  </w:style>
  <w:style w:type="character" w:styleId="HTMLMarkup" w:customStyle="1">
    <w:name w:val="HTML Markup"/>
    <w:qFormat/>
    <w:rsid w:val="00a63850"/>
    <w:rPr>
      <w:vanish w:val="false"/>
      <w:color w:val="FF0000"/>
    </w:rPr>
  </w:style>
  <w:style w:type="character" w:styleId="Text" w:customStyle="1">
    <w:name w:val="text"/>
    <w:basedOn w:val="DefaultParagraphFont"/>
    <w:qFormat/>
    <w:rsid w:val="00a63850"/>
    <w:rPr/>
  </w:style>
  <w:style w:type="character" w:styleId="Style60" w:customStyle="1">
    <w:name w:val="Перечень Знак"/>
    <w:basedOn w:val="Style50"/>
    <w:link w:val="a3"/>
    <w:qFormat/>
    <w:rsid w:val="00a63850"/>
    <w:rPr>
      <w:rFonts w:ascii="Times New Roman" w:hAnsi="Times New Roman" w:eastAsia="Calibri" w:cs="Times New Roman"/>
      <w:sz w:val="28"/>
      <w:szCs w:val="24"/>
    </w:rPr>
  </w:style>
  <w:style w:type="character" w:styleId="Style61" w:customStyle="1">
    <w:name w:val="АСодТат Знак"/>
    <w:basedOn w:val="DefaultParagraphFont"/>
    <w:link w:val="affffffffff3"/>
    <w:qFormat/>
    <w:rsid w:val="00a63850"/>
    <w:rPr>
      <w:rFonts w:ascii="Times New Roman" w:hAnsi="Times New Roman" w:cs="Times New Roman"/>
      <w:sz w:val="20"/>
      <w:szCs w:val="20"/>
    </w:rPr>
  </w:style>
  <w:style w:type="character" w:styleId="11pt0pt" w:customStyle="1">
    <w:name w:val="Основной текст + 11 pt;Интервал 0 pt"/>
    <w:basedOn w:val="Style27"/>
    <w:qFormat/>
    <w:rsid w:val="00a63850"/>
    <w:rPr>
      <w:rFonts w:ascii="Times New Roman" w:hAnsi="Times New Roman" w:eastAsia="Times New Roman" w:cs="Times New Roman"/>
      <w:color w:val="000000"/>
      <w:spacing w:val="3"/>
      <w:w w:val="100"/>
      <w:sz w:val="22"/>
      <w:szCs w:val="22"/>
      <w:shd w:fill="FFFFFF" w:val="clear"/>
      <w:lang w:val="ru-RU" w:eastAsia="ru-RU" w:bidi="ru-RU"/>
    </w:rPr>
  </w:style>
  <w:style w:type="character" w:styleId="83" w:customStyle="1">
    <w:name w:val="Основной текст8"/>
    <w:basedOn w:val="Style27"/>
    <w:qFormat/>
    <w:rsid w:val="00a63850"/>
    <w:rPr>
      <w:rFonts w:ascii="Lucida Sans Unicode" w:hAnsi="Lucida Sans Unicode" w:eastAsia="Lucida Sans Unicode" w:cs="Lucida Sans Unicode"/>
      <w:i w:val="false"/>
      <w:iCs w:val="false"/>
      <w:caps w:val="false"/>
      <w:smallCaps w:val="false"/>
      <w:color w:val="000000"/>
      <w:spacing w:val="-3"/>
      <w:w w:val="100"/>
      <w:sz w:val="14"/>
      <w:szCs w:val="14"/>
      <w:shd w:fill="FFFFFF" w:val="clear"/>
      <w:lang w:val="ru-RU" w:eastAsia="ru-RU" w:bidi="ru-RU"/>
    </w:rPr>
  </w:style>
  <w:style w:type="character" w:styleId="74" w:customStyle="1">
    <w:name w:val="Основной текст7"/>
    <w:basedOn w:val="Style27"/>
    <w:qFormat/>
    <w:rsid w:val="00a63850"/>
    <w:rPr>
      <w:rFonts w:ascii="Lucida Sans Unicode" w:hAnsi="Lucida Sans Unicode" w:eastAsia="Lucida Sans Unicode" w:cs="Lucida Sans Unicode"/>
      <w:i w:val="false"/>
      <w:iCs w:val="false"/>
      <w:caps w:val="false"/>
      <w:smallCaps w:val="false"/>
      <w:color w:val="000000"/>
      <w:spacing w:val="-3"/>
      <w:w w:val="100"/>
      <w:sz w:val="14"/>
      <w:szCs w:val="14"/>
      <w:shd w:fill="FFFFFF" w:val="clear"/>
      <w:lang w:val="ru-RU" w:eastAsia="ru-RU" w:bidi="ru-RU"/>
    </w:rPr>
  </w:style>
  <w:style w:type="character" w:styleId="Style62" w:customStyle="1">
    <w:name w:val="Пподзаг Знак"/>
    <w:basedOn w:val="37"/>
    <w:link w:val="affffffffff5"/>
    <w:qFormat/>
    <w:rsid w:val="00a63850"/>
    <w:rPr>
      <w:rFonts w:ascii="Times New Roman" w:hAnsi="Times New Roman" w:eastAsia="Calibri" w:cs="Times New Roman"/>
      <w:b/>
      <w:i/>
      <w:sz w:val="24"/>
    </w:rPr>
  </w:style>
  <w:style w:type="character" w:styleId="Style63">
    <w:name w:val="Ссылка указателя"/>
    <w:qFormat/>
    <w:rPr/>
  </w:style>
  <w:style w:type="character" w:styleId="Style64">
    <w:name w:val="Основной шрифт абзаца"/>
    <w:qFormat/>
    <w:rPr/>
  </w:style>
  <w:style w:type="paragraph" w:styleId="Style65" w:customStyle="1">
    <w:name w:val="Заголовок"/>
    <w:basedOn w:val="Normal"/>
    <w:next w:val="Style66"/>
    <w:qFormat/>
    <w:rsid w:val="00a45a27"/>
    <w:pPr>
      <w:widowControl w:val="false"/>
      <w:suppressAutoHyphens w:val="true"/>
      <w:bidi w:val="0"/>
      <w:spacing w:lineRule="auto" w:line="240" w:before="240" w:after="120"/>
      <w:jc w:val="right"/>
    </w:pPr>
    <w:rPr>
      <w:rFonts w:ascii="Times New Roman" w:hAnsi="Times New Roman" w:eastAsia="Arial" w:cs="Calibri"/>
      <w:b/>
      <w:bCs/>
      <w:sz w:val="28"/>
      <w:szCs w:val="28"/>
      <w:lang w:eastAsia="ar-SA"/>
    </w:rPr>
  </w:style>
  <w:style w:type="paragraph" w:styleId="Style66">
    <w:name w:val="Body Text"/>
    <w:basedOn w:val="Normal"/>
    <w:link w:val="aff7"/>
    <w:qFormat/>
    <w:rsid w:val="001371ad"/>
    <w:pPr>
      <w:suppressAutoHyphens w:val="true"/>
      <w:spacing w:lineRule="auto" w:line="276" w:before="0" w:after="120"/>
    </w:pPr>
    <w:rPr>
      <w:rFonts w:ascii="Calibri" w:hAnsi="Calibri" w:cs="Calibri"/>
      <w:sz w:val="22"/>
      <w:szCs w:val="22"/>
      <w:lang w:val="en-US" w:eastAsia="en-US" w:bidi="en-US"/>
    </w:rPr>
  </w:style>
  <w:style w:type="paragraph" w:styleId="Style67">
    <w:name w:val="List"/>
    <w:basedOn w:val="Style66"/>
    <w:rsid w:val="001371ad"/>
    <w:pPr/>
    <w:rPr>
      <w:rFonts w:ascii="Arial" w:hAnsi="Arial" w:cs="Mangal"/>
    </w:rPr>
  </w:style>
  <w:style w:type="paragraph" w:styleId="Style68">
    <w:name w:val="Caption"/>
    <w:basedOn w:val="Normal"/>
    <w:qFormat/>
    <w:pPr>
      <w:suppressLineNumbers/>
      <w:spacing w:before="120" w:after="120"/>
    </w:pPr>
    <w:rPr>
      <w:rFonts w:cs="Lucida Sans"/>
      <w:i/>
      <w:iCs/>
      <w:sz w:val="24"/>
      <w:szCs w:val="24"/>
    </w:rPr>
  </w:style>
  <w:style w:type="paragraph" w:styleId="Style69">
    <w:name w:val="Указатель"/>
    <w:basedOn w:val="Normal"/>
    <w:qFormat/>
    <w:pPr>
      <w:suppressLineNumbers/>
    </w:pPr>
    <w:rPr>
      <w:rFonts w:cs="Lucida Sans"/>
    </w:rPr>
  </w:style>
  <w:style w:type="paragraph" w:styleId="ConsPlusNormal1" w:customStyle="1">
    <w:name w:val="ConsPlusNormal"/>
    <w:link w:val="ConsPlusNormal0"/>
    <w:qFormat/>
    <w:rsid w:val="00cc291c"/>
    <w:pPr>
      <w:widowControl w:val="false"/>
      <w:bidi w:val="0"/>
      <w:spacing w:lineRule="auto" w:line="240" w:before="0" w:after="0"/>
      <w:ind w:firstLine="720"/>
      <w:jc w:val="left"/>
    </w:pPr>
    <w:rPr>
      <w:rFonts w:ascii="Arial" w:hAnsi="Arial" w:eastAsia="" w:cs="Arial" w:eastAsiaTheme="minorEastAsia"/>
      <w:color w:val="auto"/>
      <w:kern w:val="0"/>
      <w:sz w:val="20"/>
      <w:szCs w:val="20"/>
      <w:lang w:val="ru-RU" w:eastAsia="ru-RU" w:bidi="ar-SA"/>
    </w:rPr>
  </w:style>
  <w:style w:type="paragraph" w:styleId="Style70">
    <w:name w:val="Верхний и нижний колонтитулы"/>
    <w:basedOn w:val="Normal"/>
    <w:qFormat/>
    <w:pPr/>
    <w:rPr/>
  </w:style>
  <w:style w:type="paragraph" w:styleId="Style71">
    <w:name w:val="Footer"/>
    <w:basedOn w:val="Normal"/>
    <w:link w:val="aa"/>
    <w:uiPriority w:val="99"/>
    <w:unhideWhenUsed/>
    <w:rsid w:val="004f51d2"/>
    <w:pPr>
      <w:tabs>
        <w:tab w:val="clear" w:pos="709"/>
        <w:tab w:val="center" w:pos="4677" w:leader="none"/>
        <w:tab w:val="right" w:pos="9355" w:leader="none"/>
      </w:tabs>
      <w:spacing w:lineRule="auto" w:line="276" w:before="0" w:after="200"/>
    </w:pPr>
    <w:rPr>
      <w:rFonts w:eastAsia="Calibri"/>
      <w:szCs w:val="22"/>
      <w:lang w:val="x-none" w:eastAsia="en-US"/>
    </w:rPr>
  </w:style>
  <w:style w:type="paragraph" w:styleId="BalloonText">
    <w:name w:val="Balloon Text"/>
    <w:basedOn w:val="Normal"/>
    <w:link w:val="ac"/>
    <w:uiPriority w:val="99"/>
    <w:unhideWhenUsed/>
    <w:qFormat/>
    <w:rsid w:val="004f51d2"/>
    <w:pPr/>
    <w:rPr>
      <w:rFonts w:ascii="Tahoma" w:hAnsi="Tahoma" w:eastAsia="Calibri" w:cs="Tahoma"/>
      <w:sz w:val="16"/>
      <w:szCs w:val="16"/>
      <w:lang w:eastAsia="en-US"/>
    </w:rPr>
  </w:style>
  <w:style w:type="paragraph" w:styleId="NormalWeb">
    <w:name w:val="Normal (Web)"/>
    <w:basedOn w:val="Normal"/>
    <w:link w:val="ae"/>
    <w:unhideWhenUsed/>
    <w:qFormat/>
    <w:rsid w:val="009f4fc9"/>
    <w:pPr>
      <w:spacing w:beforeAutospacing="1" w:afterAutospacing="1"/>
    </w:pPr>
    <w:rPr/>
  </w:style>
  <w:style w:type="paragraph" w:styleId="Default" w:customStyle="1">
    <w:name w:val="Default"/>
    <w:qFormat/>
    <w:rsid w:val="00f679f4"/>
    <w:pPr>
      <w:widowControl/>
      <w:bidi w:val="0"/>
      <w:spacing w:lineRule="auto" w:line="240" w:before="0" w:after="0"/>
      <w:jc w:val="left"/>
    </w:pPr>
    <w:rPr>
      <w:rFonts w:ascii="Times New Roman" w:hAnsi="Times New Roman" w:eastAsia="Calibri" w:cs="Times New Roman"/>
      <w:color w:val="000000"/>
      <w:kern w:val="0"/>
      <w:sz w:val="24"/>
      <w:szCs w:val="24"/>
      <w:lang w:val="ru-RU" w:eastAsia="ru-RU" w:bidi="ar-SA"/>
    </w:rPr>
  </w:style>
  <w:style w:type="paragraph" w:styleId="Style72">
    <w:name w:val="Header"/>
    <w:basedOn w:val="Normal"/>
    <w:link w:val="af1"/>
    <w:unhideWhenUsed/>
    <w:rsid w:val="008e656f"/>
    <w:pPr>
      <w:tabs>
        <w:tab w:val="clear" w:pos="709"/>
        <w:tab w:val="center" w:pos="4677" w:leader="none"/>
        <w:tab w:val="right" w:pos="9355" w:leader="none"/>
      </w:tabs>
    </w:pPr>
    <w:rPr>
      <w:rFonts w:eastAsia="Calibri"/>
      <w:szCs w:val="22"/>
      <w:lang w:eastAsia="en-US"/>
    </w:rPr>
  </w:style>
  <w:style w:type="paragraph" w:styleId="Style73">
    <w:name w:val="Body Text Indent"/>
    <w:basedOn w:val="Normal"/>
    <w:link w:val="af3"/>
    <w:uiPriority w:val="99"/>
    <w:rsid w:val="00ba4eac"/>
    <w:pPr>
      <w:ind w:firstLine="540"/>
      <w:jc w:val="both"/>
    </w:pPr>
    <w:rPr>
      <w:sz w:val="28"/>
    </w:rPr>
  </w:style>
  <w:style w:type="paragraph" w:styleId="ListParagraph">
    <w:name w:val="List Paragraph"/>
    <w:basedOn w:val="Normal"/>
    <w:link w:val="af5"/>
    <w:uiPriority w:val="34"/>
    <w:qFormat/>
    <w:rsid w:val="00ba4eac"/>
    <w:pPr>
      <w:spacing w:lineRule="auto" w:line="276" w:before="0" w:after="200"/>
      <w:ind w:left="720" w:hanging="0"/>
      <w:contextualSpacing/>
    </w:pPr>
    <w:rPr>
      <w:rFonts w:eastAsia="Calibri"/>
      <w:szCs w:val="22"/>
      <w:lang w:eastAsia="en-US"/>
    </w:rPr>
  </w:style>
  <w:style w:type="paragraph" w:styleId="134" w:customStyle="1">
    <w:name w:val="Знак Знак1 Знак Знак Знак Знак Знак Знак Знак Знак"/>
    <w:basedOn w:val="Normal"/>
    <w:qFormat/>
    <w:rsid w:val="00463d88"/>
    <w:pPr>
      <w:tabs>
        <w:tab w:val="clear" w:pos="709"/>
        <w:tab w:val="left" w:pos="360" w:leader="none"/>
      </w:tabs>
      <w:spacing w:lineRule="exact" w:line="240" w:before="0" w:after="160"/>
    </w:pPr>
    <w:rPr>
      <w:rFonts w:ascii="Verdana" w:hAnsi="Verdana" w:cs="Verdana"/>
      <w:sz w:val="20"/>
      <w:szCs w:val="20"/>
      <w:lang w:val="en-US" w:eastAsia="en-US"/>
    </w:rPr>
  </w:style>
  <w:style w:type="paragraph" w:styleId="1210" w:customStyle="1">
    <w:name w:val="Знак Знак1 Знак Знак Знак Знак Знак Знак Знак Знак2"/>
    <w:basedOn w:val="Normal"/>
    <w:qFormat/>
    <w:rsid w:val="00370009"/>
    <w:pPr>
      <w:tabs>
        <w:tab w:val="clear" w:pos="709"/>
        <w:tab w:val="left" w:pos="360" w:leader="none"/>
      </w:tabs>
      <w:spacing w:lineRule="exact" w:line="240" w:before="0" w:after="160"/>
    </w:pPr>
    <w:rPr>
      <w:rFonts w:ascii="Verdana" w:hAnsi="Verdana" w:cs="Verdana"/>
      <w:sz w:val="20"/>
      <w:szCs w:val="20"/>
      <w:lang w:val="en-US" w:eastAsia="en-US"/>
    </w:rPr>
  </w:style>
  <w:style w:type="paragraph" w:styleId="1113" w:customStyle="1">
    <w:name w:val="Знак Знак1 Знак Знак Знак Знак Знак Знак Знак Знак1"/>
    <w:basedOn w:val="Normal"/>
    <w:qFormat/>
    <w:rsid w:val="000170c8"/>
    <w:pPr>
      <w:tabs>
        <w:tab w:val="clear" w:pos="709"/>
        <w:tab w:val="left" w:pos="360" w:leader="none"/>
      </w:tabs>
      <w:spacing w:lineRule="exact" w:line="240" w:before="0" w:after="160"/>
    </w:pPr>
    <w:rPr>
      <w:rFonts w:ascii="Verdana" w:hAnsi="Verdana" w:cs="Verdana"/>
      <w:sz w:val="20"/>
      <w:szCs w:val="20"/>
      <w:lang w:val="en-US" w:eastAsia="en-US"/>
    </w:rPr>
  </w:style>
  <w:style w:type="paragraph" w:styleId="135" w:customStyle="1">
    <w:name w:val="Знак Знак1 Знак Знак Знак Знак Знак Знак Знак Знак3"/>
    <w:basedOn w:val="Normal"/>
    <w:qFormat/>
    <w:rsid w:val="00cc3a32"/>
    <w:pPr>
      <w:tabs>
        <w:tab w:val="clear" w:pos="709"/>
        <w:tab w:val="left" w:pos="360" w:leader="none"/>
      </w:tabs>
      <w:spacing w:lineRule="exact" w:line="240" w:before="0" w:after="160"/>
    </w:pPr>
    <w:rPr>
      <w:rFonts w:ascii="Verdana" w:hAnsi="Verdana" w:cs="Verdana"/>
      <w:sz w:val="20"/>
      <w:szCs w:val="20"/>
      <w:lang w:val="en-US" w:eastAsia="en-US"/>
    </w:rPr>
  </w:style>
  <w:style w:type="paragraph" w:styleId="Annotationtext">
    <w:name w:val="annotation text"/>
    <w:basedOn w:val="Normal"/>
    <w:link w:val="af8"/>
    <w:uiPriority w:val="99"/>
    <w:unhideWhenUsed/>
    <w:qFormat/>
    <w:rsid w:val="00514602"/>
    <w:pPr/>
    <w:rPr>
      <w:sz w:val="20"/>
      <w:szCs w:val="20"/>
    </w:rPr>
  </w:style>
  <w:style w:type="paragraph" w:styleId="Annotationsubject">
    <w:name w:val="annotation subject"/>
    <w:basedOn w:val="Annotationtext"/>
    <w:next w:val="Annotationtext"/>
    <w:link w:val="afa"/>
    <w:uiPriority w:val="99"/>
    <w:unhideWhenUsed/>
    <w:qFormat/>
    <w:rsid w:val="00514602"/>
    <w:pPr/>
    <w:rPr>
      <w:b/>
      <w:bCs/>
    </w:rPr>
  </w:style>
  <w:style w:type="paragraph" w:styleId="Caption">
    <w:name w:val="caption"/>
    <w:basedOn w:val="Normal"/>
    <w:next w:val="Normal"/>
    <w:link w:val="afc"/>
    <w:qFormat/>
    <w:rsid w:val="00594320"/>
    <w:pPr>
      <w:widowControl w:val="false"/>
      <w:spacing w:before="120" w:after="200"/>
      <w:ind w:firstLine="567"/>
      <w:jc w:val="both"/>
      <w:textAlignment w:val="baseline"/>
    </w:pPr>
    <w:rPr>
      <w:rFonts w:ascii="Arial" w:hAnsi="Arial" w:eastAsia="Microsoft YaHei"/>
      <w:b/>
      <w:bCs/>
      <w:color w:val="4F81BD"/>
      <w:spacing w:val="-5"/>
      <w:sz w:val="18"/>
      <w:szCs w:val="18"/>
      <w:lang w:eastAsia="en-US"/>
    </w:rPr>
  </w:style>
  <w:style w:type="paragraph" w:styleId="TOCHeading">
    <w:name w:val="TOC Heading"/>
    <w:basedOn w:val="1"/>
    <w:next w:val="Normal"/>
    <w:uiPriority w:val="39"/>
    <w:unhideWhenUsed/>
    <w:qFormat/>
    <w:rsid w:val="003a20fa"/>
    <w:pPr>
      <w:keepLines/>
      <w:spacing w:before="480" w:after="0"/>
    </w:pPr>
    <w:rPr>
      <w:rFonts w:ascii="Cambria" w:hAnsi="Cambria" w:eastAsia="" w:cs="" w:asciiTheme="majorHAnsi" w:cstheme="majorBidi" w:eastAsiaTheme="majorEastAsia" w:hAnsiTheme="majorHAnsi"/>
      <w:color w:val="365F91" w:themeColor="accent1" w:themeShade="bf"/>
      <w:kern w:val="0"/>
      <w:sz w:val="28"/>
      <w:szCs w:val="28"/>
      <w:lang w:eastAsia="ru-RU"/>
    </w:rPr>
  </w:style>
  <w:style w:type="paragraph" w:styleId="312">
    <w:name w:val="TOC 3"/>
    <w:basedOn w:val="Normal"/>
    <w:next w:val="Normal"/>
    <w:autoRedefine/>
    <w:uiPriority w:val="39"/>
    <w:unhideWhenUsed/>
    <w:qFormat/>
    <w:rsid w:val="003a20fa"/>
    <w:pPr>
      <w:spacing w:lineRule="auto" w:line="276"/>
      <w:ind w:left="240" w:hanging="0"/>
    </w:pPr>
    <w:rPr>
      <w:rFonts w:ascii="Calibri" w:hAnsi="Calibri" w:eastAsia="Calibri" w:asciiTheme="minorHAnsi" w:hAnsiTheme="minorHAnsi"/>
      <w:sz w:val="20"/>
      <w:szCs w:val="20"/>
      <w:lang w:eastAsia="en-US"/>
    </w:rPr>
  </w:style>
  <w:style w:type="paragraph" w:styleId="223">
    <w:name w:val="TOC 2"/>
    <w:basedOn w:val="Normal"/>
    <w:next w:val="Normal"/>
    <w:autoRedefine/>
    <w:uiPriority w:val="39"/>
    <w:unhideWhenUsed/>
    <w:qFormat/>
    <w:rsid w:val="00545e45"/>
    <w:pPr>
      <w:spacing w:lineRule="auto" w:line="276"/>
    </w:pPr>
    <w:rPr>
      <w:rFonts w:eastAsia="Calibri"/>
      <w:bCs/>
      <w:sz w:val="20"/>
      <w:szCs w:val="20"/>
      <w:lang w:eastAsia="en-US"/>
    </w:rPr>
  </w:style>
  <w:style w:type="paragraph" w:styleId="ConsPlusTitle" w:customStyle="1">
    <w:name w:val="ConsPlusTitle"/>
    <w:uiPriority w:val="99"/>
    <w:qFormat/>
    <w:rsid w:val="00f33945"/>
    <w:pPr>
      <w:widowControl w:val="false"/>
      <w:bidi w:val="0"/>
      <w:spacing w:before="0" w:after="0"/>
      <w:jc w:val="left"/>
    </w:pPr>
    <w:rPr>
      <w:rFonts w:ascii="Calibri" w:hAnsi="Calibri" w:eastAsia="Calibri" w:cs="Calibri" w:asciiTheme="minorHAnsi" w:eastAsiaTheme="minorHAnsi" w:hAnsiTheme="minorHAnsi"/>
      <w:b/>
      <w:bCs/>
      <w:color w:val="auto"/>
      <w:kern w:val="0"/>
      <w:sz w:val="24"/>
      <w:szCs w:val="22"/>
      <w:lang w:val="ru-RU" w:eastAsia="ru-RU" w:bidi="ar-SA"/>
    </w:rPr>
  </w:style>
  <w:style w:type="paragraph" w:styleId="ListParagraph11" w:customStyle="1">
    <w:name w:val="List Paragraph1"/>
    <w:basedOn w:val="Normal"/>
    <w:link w:val="ListParagraph10"/>
    <w:qFormat/>
    <w:rsid w:val="002c36e5"/>
    <w:pPr>
      <w:spacing w:lineRule="auto" w:line="276" w:before="0" w:after="200"/>
      <w:ind w:left="720" w:hanging="0"/>
      <w:contextualSpacing/>
    </w:pPr>
    <w:rPr>
      <w:rFonts w:ascii="Calibri" w:hAnsi="Calibri"/>
      <w:sz w:val="22"/>
      <w:szCs w:val="22"/>
      <w:lang w:val="en-US" w:eastAsia="en-US" w:bidi="en-US"/>
    </w:rPr>
  </w:style>
  <w:style w:type="paragraph" w:styleId="Xl73" w:customStyle="1">
    <w:name w:val="xl73"/>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styleId="Xl74" w:customStyle="1">
    <w:name w:val="xl74"/>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b/>
      <w:bCs/>
      <w:sz w:val="20"/>
      <w:szCs w:val="20"/>
    </w:rPr>
  </w:style>
  <w:style w:type="paragraph" w:styleId="Xl75" w:customStyle="1">
    <w:name w:val="xl75"/>
    <w:basedOn w:val="Normal"/>
    <w:qFormat/>
    <w:rsid w:val="001371ad"/>
    <w:pPr>
      <w:spacing w:beforeAutospacing="1" w:afterAutospacing="1"/>
      <w:jc w:val="center"/>
      <w:textAlignment w:val="center"/>
    </w:pPr>
    <w:rPr>
      <w:sz w:val="18"/>
      <w:szCs w:val="18"/>
    </w:rPr>
  </w:style>
  <w:style w:type="paragraph" w:styleId="Xl76" w:customStyle="1">
    <w:name w:val="xl76"/>
    <w:basedOn w:val="Normal"/>
    <w:qFormat/>
    <w:rsid w:val="001371ad"/>
    <w:pPr>
      <w:spacing w:beforeAutospacing="1" w:afterAutospacing="1"/>
      <w:textAlignment w:val="center"/>
    </w:pPr>
    <w:rPr>
      <w:sz w:val="18"/>
      <w:szCs w:val="18"/>
    </w:rPr>
  </w:style>
  <w:style w:type="paragraph" w:styleId="Xl77" w:customStyle="1">
    <w:name w:val="xl77"/>
    <w:basedOn w:val="Normal"/>
    <w:qFormat/>
    <w:rsid w:val="001371ad"/>
    <w:pPr>
      <w:spacing w:beforeAutospacing="1" w:afterAutospacing="1"/>
      <w:textAlignment w:val="center"/>
    </w:pPr>
    <w:rPr>
      <w:sz w:val="18"/>
      <w:szCs w:val="18"/>
    </w:rPr>
  </w:style>
  <w:style w:type="paragraph" w:styleId="Xl78" w:customStyle="1">
    <w:name w:val="xl78"/>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79" w:customStyle="1">
    <w:name w:val="xl79"/>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0" w:customStyle="1">
    <w:name w:val="xl80"/>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b/>
      <w:bCs/>
      <w:sz w:val="18"/>
      <w:szCs w:val="18"/>
    </w:rPr>
  </w:style>
  <w:style w:type="paragraph" w:styleId="Xl81" w:customStyle="1">
    <w:name w:val="xl81"/>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2" w:customStyle="1">
    <w:name w:val="xl82"/>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3" w:customStyle="1">
    <w:name w:val="xl83"/>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4" w:customStyle="1">
    <w:name w:val="xl84"/>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5" w:customStyle="1">
    <w:name w:val="xl85"/>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86" w:customStyle="1">
    <w:name w:val="xl86"/>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87" w:customStyle="1">
    <w:name w:val="xl87"/>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8" w:customStyle="1">
    <w:name w:val="xl88"/>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89" w:customStyle="1">
    <w:name w:val="xl89"/>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0" w:customStyle="1">
    <w:name w:val="xl90"/>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91" w:customStyle="1">
    <w:name w:val="xl91"/>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2" w:customStyle="1">
    <w:name w:val="xl92"/>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3" w:customStyle="1">
    <w:name w:val="xl93"/>
    <w:basedOn w:val="Normal"/>
    <w:qFormat/>
    <w:rsid w:val="001371ad"/>
    <w:pPr>
      <w:spacing w:beforeAutospacing="1" w:afterAutospacing="1"/>
      <w:textAlignment w:val="center"/>
    </w:pPr>
    <w:rPr>
      <w:sz w:val="18"/>
      <w:szCs w:val="18"/>
    </w:rPr>
  </w:style>
  <w:style w:type="paragraph" w:styleId="Xl94" w:customStyle="1">
    <w:name w:val="xl94"/>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95" w:customStyle="1">
    <w:name w:val="xl95"/>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6" w:customStyle="1">
    <w:name w:val="xl96"/>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7" w:customStyle="1">
    <w:name w:val="xl97"/>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8" w:customStyle="1">
    <w:name w:val="xl98"/>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99" w:customStyle="1">
    <w:name w:val="xl99"/>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00" w:customStyle="1">
    <w:name w:val="xl100"/>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01" w:customStyle="1">
    <w:name w:val="xl101"/>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02" w:customStyle="1">
    <w:name w:val="xl102"/>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03" w:customStyle="1">
    <w:name w:val="xl103"/>
    <w:basedOn w:val="Normal"/>
    <w:qFormat/>
    <w:rsid w:val="001371ad"/>
    <w:pPr>
      <w:spacing w:beforeAutospacing="1" w:afterAutospacing="1"/>
      <w:jc w:val="center"/>
      <w:textAlignment w:val="center"/>
    </w:pPr>
    <w:rPr>
      <w:sz w:val="18"/>
      <w:szCs w:val="18"/>
    </w:rPr>
  </w:style>
  <w:style w:type="paragraph" w:styleId="Xl104" w:customStyle="1">
    <w:name w:val="xl104"/>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05" w:customStyle="1">
    <w:name w:val="xl105"/>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06" w:customStyle="1">
    <w:name w:val="xl106"/>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07" w:customStyle="1">
    <w:name w:val="xl107"/>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08" w:customStyle="1">
    <w:name w:val="xl108"/>
    <w:basedOn w:val="Normal"/>
    <w:qFormat/>
    <w:rsid w:val="001371ad"/>
    <w:pPr>
      <w:pBdr>
        <w:top w:val="single" w:sz="4" w:space="0" w:color="000000"/>
        <w:left w:val="single" w:sz="4" w:space="0" w:color="000000"/>
        <w:right w:val="single" w:sz="4" w:space="0" w:color="000000"/>
      </w:pBdr>
      <w:spacing w:beforeAutospacing="1" w:afterAutospacing="1"/>
      <w:textAlignment w:val="center"/>
    </w:pPr>
    <w:rPr>
      <w:sz w:val="18"/>
      <w:szCs w:val="18"/>
    </w:rPr>
  </w:style>
  <w:style w:type="paragraph" w:styleId="Xl109" w:customStyle="1">
    <w:name w:val="xl109"/>
    <w:basedOn w:val="Normal"/>
    <w:qFormat/>
    <w:rsid w:val="001371ad"/>
    <w:pPr>
      <w:pBdr>
        <w:top w:val="single" w:sz="8" w:space="0" w:color="000000"/>
      </w:pBdr>
      <w:spacing w:beforeAutospacing="1" w:afterAutospacing="1"/>
      <w:textAlignment w:val="center"/>
    </w:pPr>
    <w:rPr>
      <w:sz w:val="18"/>
      <w:szCs w:val="18"/>
    </w:rPr>
  </w:style>
  <w:style w:type="paragraph" w:styleId="Xl110" w:customStyle="1">
    <w:name w:val="xl110"/>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11" w:customStyle="1">
    <w:name w:val="xl111"/>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12" w:customStyle="1">
    <w:name w:val="xl112"/>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13" w:customStyle="1">
    <w:name w:val="xl113"/>
    <w:basedOn w:val="Normal"/>
    <w:qFormat/>
    <w:rsid w:val="001371ad"/>
    <w:pPr>
      <w:pBdr>
        <w:bottom w:val="single" w:sz="8" w:space="0" w:color="000000"/>
      </w:pBdr>
      <w:spacing w:beforeAutospacing="1" w:afterAutospacing="1"/>
      <w:textAlignment w:val="center"/>
    </w:pPr>
    <w:rPr>
      <w:sz w:val="18"/>
      <w:szCs w:val="18"/>
    </w:rPr>
  </w:style>
  <w:style w:type="paragraph" w:styleId="Xl114" w:customStyle="1">
    <w:name w:val="xl114"/>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15" w:customStyle="1">
    <w:name w:val="xl115"/>
    <w:basedOn w:val="Normal"/>
    <w:qFormat/>
    <w:rsid w:val="001371ad"/>
    <w:pPr>
      <w:pBdr>
        <w:top w:val="single" w:sz="8" w:space="0" w:color="000000"/>
      </w:pBdr>
      <w:spacing w:beforeAutospacing="1" w:afterAutospacing="1"/>
      <w:textAlignment w:val="center"/>
    </w:pPr>
    <w:rPr>
      <w:sz w:val="18"/>
      <w:szCs w:val="18"/>
    </w:rPr>
  </w:style>
  <w:style w:type="paragraph" w:styleId="Xl116" w:customStyle="1">
    <w:name w:val="xl116"/>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17" w:customStyle="1">
    <w:name w:val="xl117"/>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18" w:customStyle="1">
    <w:name w:val="xl118"/>
    <w:basedOn w:val="Normal"/>
    <w:qFormat/>
    <w:rsid w:val="001371ad"/>
    <w:pPr>
      <w:pBdr>
        <w:bottom w:val="single" w:sz="8" w:space="0" w:color="000000"/>
      </w:pBdr>
      <w:spacing w:beforeAutospacing="1" w:afterAutospacing="1"/>
      <w:textAlignment w:val="center"/>
    </w:pPr>
    <w:rPr>
      <w:sz w:val="18"/>
      <w:szCs w:val="18"/>
    </w:rPr>
  </w:style>
  <w:style w:type="paragraph" w:styleId="Xl119" w:customStyle="1">
    <w:name w:val="xl119"/>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18"/>
      <w:szCs w:val="18"/>
    </w:rPr>
  </w:style>
  <w:style w:type="paragraph" w:styleId="Xl120" w:customStyle="1">
    <w:name w:val="xl120"/>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8"/>
      <w:szCs w:val="18"/>
    </w:rPr>
  </w:style>
  <w:style w:type="paragraph" w:styleId="Xl121" w:customStyle="1">
    <w:name w:val="xl121"/>
    <w:basedOn w:val="Normal"/>
    <w:qFormat/>
    <w:rsid w:val="001371ad"/>
    <w:pPr>
      <w:spacing w:beforeAutospacing="1" w:afterAutospacing="1"/>
      <w:jc w:val="center"/>
      <w:textAlignment w:val="center"/>
    </w:pPr>
    <w:rPr>
      <w:sz w:val="18"/>
      <w:szCs w:val="18"/>
    </w:rPr>
  </w:style>
  <w:style w:type="paragraph" w:styleId="Xl122" w:customStyle="1">
    <w:name w:val="xl122"/>
    <w:basedOn w:val="Normal"/>
    <w:qFormat/>
    <w:rsid w:val="001371ad"/>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18"/>
      <w:szCs w:val="18"/>
    </w:rPr>
  </w:style>
  <w:style w:type="paragraph" w:styleId="Xl65" w:customStyle="1">
    <w:name w:val="xl65"/>
    <w:basedOn w:val="Normal"/>
    <w:qFormat/>
    <w:rsid w:val="001371ad"/>
    <w:pPr>
      <w:spacing w:beforeAutospacing="1" w:afterAutospacing="1"/>
    </w:pPr>
    <w:rPr/>
  </w:style>
  <w:style w:type="paragraph" w:styleId="Xl66" w:customStyle="1">
    <w:name w:val="xl66"/>
    <w:basedOn w:val="Normal"/>
    <w:qFormat/>
    <w:rsid w:val="001371ad"/>
    <w:pPr>
      <w:spacing w:beforeAutospacing="1" w:afterAutospacing="1"/>
    </w:pPr>
    <w:rPr/>
  </w:style>
  <w:style w:type="paragraph" w:styleId="Xl67" w:customStyle="1">
    <w:name w:val="xl67"/>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center"/>
      <w:textAlignment w:val="center"/>
    </w:pPr>
    <w:rPr>
      <w:b/>
      <w:bCs/>
      <w:color w:val="000000"/>
      <w:sz w:val="18"/>
      <w:szCs w:val="18"/>
    </w:rPr>
  </w:style>
  <w:style w:type="paragraph" w:styleId="Xl68" w:customStyle="1">
    <w:name w:val="xl68"/>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center"/>
      <w:textAlignment w:val="center"/>
    </w:pPr>
    <w:rPr>
      <w:b/>
      <w:bCs/>
      <w:color w:val="000000"/>
      <w:sz w:val="18"/>
      <w:szCs w:val="18"/>
    </w:rPr>
  </w:style>
  <w:style w:type="paragraph" w:styleId="Xl69" w:customStyle="1">
    <w:name w:val="xl69"/>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center"/>
      <w:textAlignment w:val="center"/>
    </w:pPr>
    <w:rPr>
      <w:color w:val="000000"/>
      <w:sz w:val="18"/>
      <w:szCs w:val="18"/>
    </w:rPr>
  </w:style>
  <w:style w:type="paragraph" w:styleId="Xl70" w:customStyle="1">
    <w:name w:val="xl70"/>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color w:val="000000"/>
      <w:sz w:val="18"/>
      <w:szCs w:val="18"/>
    </w:rPr>
  </w:style>
  <w:style w:type="paragraph" w:styleId="Xl71" w:customStyle="1">
    <w:name w:val="xl71"/>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color w:val="000000"/>
      <w:sz w:val="18"/>
      <w:szCs w:val="18"/>
    </w:rPr>
  </w:style>
  <w:style w:type="paragraph" w:styleId="Xl72" w:customStyle="1">
    <w:name w:val="xl72"/>
    <w:basedOn w:val="Normal"/>
    <w:qFormat/>
    <w:rsid w:val="001371ad"/>
    <w:pPr>
      <w:spacing w:beforeAutospacing="1" w:afterAutospacing="1"/>
      <w:textAlignment w:val="center"/>
    </w:pPr>
    <w:rPr/>
  </w:style>
  <w:style w:type="paragraph" w:styleId="136" w:customStyle="1">
    <w:name w:val="Заголовок оглавления1"/>
    <w:basedOn w:val="1"/>
    <w:next w:val="Normal"/>
    <w:qFormat/>
    <w:rsid w:val="001371ad"/>
    <w:pPr>
      <w:keepNext w:val="false"/>
      <w:spacing w:beforeAutospacing="1" w:after="120"/>
      <w:ind w:firstLine="709"/>
      <w:contextualSpacing/>
      <w:jc w:val="both"/>
    </w:pPr>
    <w:rPr>
      <w:rFonts w:ascii="Times New Roman" w:hAnsi="Times New Roman"/>
      <w:b w:val="false"/>
      <w:i/>
      <w:kern w:val="0"/>
      <w:sz w:val="24"/>
      <w:szCs w:val="22"/>
      <w:lang w:eastAsia="ru-RU"/>
    </w:rPr>
  </w:style>
  <w:style w:type="paragraph" w:styleId="137">
    <w:name w:val="TOC 1"/>
    <w:basedOn w:val="Normal"/>
    <w:next w:val="Normal"/>
    <w:autoRedefine/>
    <w:uiPriority w:val="39"/>
    <w:unhideWhenUsed/>
    <w:qFormat/>
    <w:rsid w:val="00c03588"/>
    <w:pPr>
      <w:tabs>
        <w:tab w:val="clear" w:pos="709"/>
        <w:tab w:val="right" w:pos="10194" w:leader="dot"/>
      </w:tabs>
      <w:spacing w:lineRule="auto" w:line="276"/>
      <w:jc w:val="center"/>
    </w:pPr>
    <w:rPr>
      <w:rFonts w:eastAsia="Calibri"/>
      <w:b/>
      <w:bCs/>
      <w:caps/>
      <w:lang w:eastAsia="en-US"/>
    </w:rPr>
  </w:style>
  <w:style w:type="paragraph" w:styleId="Style81" w:customStyle="1">
    <w:name w:val="Style8"/>
    <w:basedOn w:val="Normal"/>
    <w:qFormat/>
    <w:rsid w:val="001371ad"/>
    <w:pPr>
      <w:widowControl w:val="false"/>
      <w:spacing w:lineRule="exact" w:line="265"/>
      <w:ind w:firstLine="525"/>
      <w:jc w:val="both"/>
    </w:pPr>
    <w:rPr>
      <w:lang w:val="en-US" w:eastAsia="en-US" w:bidi="en-US"/>
    </w:rPr>
  </w:style>
  <w:style w:type="paragraph" w:styleId="224" w:customStyle="1">
    <w:name w:val="Абзац списка2"/>
    <w:basedOn w:val="Normal"/>
    <w:qFormat/>
    <w:rsid w:val="001371ad"/>
    <w:pPr>
      <w:spacing w:lineRule="auto" w:line="276" w:before="0" w:after="200"/>
      <w:ind w:left="720" w:hanging="0"/>
      <w:contextualSpacing/>
    </w:pPr>
    <w:rPr>
      <w:rFonts w:ascii="Calibri" w:hAnsi="Calibri"/>
      <w:sz w:val="22"/>
      <w:szCs w:val="22"/>
      <w:lang w:val="en-US" w:eastAsia="en-US" w:bidi="en-US"/>
    </w:rPr>
  </w:style>
  <w:style w:type="paragraph" w:styleId="Style74">
    <w:name w:val="Title"/>
    <w:basedOn w:val="Normal"/>
    <w:next w:val="Normal"/>
    <w:link w:val="aff1"/>
    <w:qFormat/>
    <w:rsid w:val="001371ad"/>
    <w:pPr>
      <w:pBdr>
        <w:bottom w:val="single" w:sz="8" w:space="4" w:color="4F81BD"/>
      </w:pBdr>
      <w:spacing w:before="0" w:after="300"/>
      <w:contextualSpacing/>
    </w:pPr>
    <w:rPr>
      <w:rFonts w:ascii="Cambria" w:hAnsi="Cambria"/>
      <w:color w:val="17365D"/>
      <w:spacing w:val="5"/>
      <w:kern w:val="2"/>
      <w:sz w:val="52"/>
      <w:szCs w:val="52"/>
      <w:lang w:val="x-none" w:eastAsia="x-none"/>
    </w:rPr>
  </w:style>
  <w:style w:type="paragraph" w:styleId="Style75">
    <w:name w:val="Subtitle"/>
    <w:basedOn w:val="Normal"/>
    <w:next w:val="Normal"/>
    <w:link w:val="aff3"/>
    <w:qFormat/>
    <w:rsid w:val="001371ad"/>
    <w:pPr>
      <w:spacing w:lineRule="auto" w:line="276" w:before="0" w:after="200"/>
    </w:pPr>
    <w:rPr>
      <w:rFonts w:ascii="Cambria" w:hAnsi="Cambria"/>
      <w:i/>
      <w:iCs/>
      <w:color w:val="4F81BD"/>
      <w:spacing w:val="15"/>
      <w:lang w:val="x-none" w:eastAsia="x-none"/>
    </w:rPr>
  </w:style>
  <w:style w:type="paragraph" w:styleId="NoSpacing1" w:customStyle="1">
    <w:name w:val="No Spacing1"/>
    <w:uiPriority w:val="1"/>
    <w:qFormat/>
    <w:rsid w:val="001371ad"/>
    <w:pPr>
      <w:widowControl/>
      <w:bidi w:val="0"/>
      <w:spacing w:lineRule="auto" w:line="240" w:before="0" w:after="0"/>
      <w:jc w:val="left"/>
    </w:pPr>
    <w:rPr>
      <w:rFonts w:ascii="Calibri" w:hAnsi="Calibri" w:eastAsia="Times New Roman" w:cs="Times New Roman" w:asciiTheme="minorHAnsi" w:hAnsiTheme="minorHAnsi"/>
      <w:color w:val="auto"/>
      <w:kern w:val="0"/>
      <w:sz w:val="24"/>
      <w:szCs w:val="22"/>
      <w:lang w:val="en-US" w:eastAsia="en-US" w:bidi="en-US"/>
    </w:rPr>
  </w:style>
  <w:style w:type="paragraph" w:styleId="Quote1" w:customStyle="1">
    <w:name w:val="Quote1"/>
    <w:basedOn w:val="Normal"/>
    <w:next w:val="Normal"/>
    <w:link w:val="QuoteChar"/>
    <w:uiPriority w:val="29"/>
    <w:qFormat/>
    <w:rsid w:val="001371ad"/>
    <w:pPr>
      <w:spacing w:lineRule="auto" w:line="276" w:before="0" w:after="200"/>
    </w:pPr>
    <w:rPr>
      <w:rFonts w:ascii="Calibri" w:hAnsi="Calibri"/>
      <w:i/>
      <w:iCs/>
      <w:color w:val="000000"/>
      <w:sz w:val="20"/>
      <w:szCs w:val="20"/>
      <w:lang w:val="x-none" w:eastAsia="x-none"/>
    </w:rPr>
  </w:style>
  <w:style w:type="paragraph" w:styleId="IntenseQuote1" w:customStyle="1">
    <w:name w:val="Intense Quote1"/>
    <w:basedOn w:val="Normal"/>
    <w:next w:val="Normal"/>
    <w:link w:val="IntenseQuoteChar"/>
    <w:uiPriority w:val="30"/>
    <w:qFormat/>
    <w:rsid w:val="001371ad"/>
    <w:pPr>
      <w:pBdr>
        <w:bottom w:val="single" w:sz="4" w:space="4" w:color="4F81BD"/>
      </w:pBdr>
      <w:spacing w:lineRule="auto" w:line="276" w:before="200" w:after="280"/>
      <w:ind w:left="936" w:right="936" w:hanging="0"/>
    </w:pPr>
    <w:rPr>
      <w:rFonts w:ascii="Calibri" w:hAnsi="Calibri"/>
      <w:b/>
      <w:bCs/>
      <w:i/>
      <w:iCs/>
      <w:color w:val="4F81BD"/>
      <w:sz w:val="20"/>
      <w:szCs w:val="20"/>
      <w:lang w:val="x-none" w:eastAsia="x-none"/>
    </w:rPr>
  </w:style>
  <w:style w:type="paragraph" w:styleId="Revision1" w:customStyle="1">
    <w:name w:val="Revision1"/>
    <w:uiPriority w:val="99"/>
    <w:semiHidden/>
    <w:qFormat/>
    <w:rsid w:val="001371ad"/>
    <w:pPr>
      <w:widowControl/>
      <w:bidi w:val="0"/>
      <w:spacing w:lineRule="auto" w:line="240" w:before="0" w:after="0"/>
      <w:jc w:val="left"/>
    </w:pPr>
    <w:rPr>
      <w:rFonts w:ascii="Calibri" w:hAnsi="Calibri" w:eastAsia="Times New Roman" w:cs="Times New Roman" w:asciiTheme="minorHAnsi" w:hAnsiTheme="minorHAnsi"/>
      <w:color w:val="auto"/>
      <w:kern w:val="0"/>
      <w:sz w:val="24"/>
      <w:szCs w:val="22"/>
      <w:lang w:val="en-US" w:eastAsia="en-US" w:bidi="en-US"/>
    </w:rPr>
  </w:style>
  <w:style w:type="paragraph" w:styleId="138" w:customStyle="1">
    <w:name w:val="Стиль1"/>
    <w:basedOn w:val="3"/>
    <w:link w:val="1d"/>
    <w:qFormat/>
    <w:rsid w:val="001371ad"/>
    <w:pPr>
      <w:spacing w:lineRule="auto" w:line="360" w:before="120" w:after="120"/>
      <w:jc w:val="left"/>
    </w:pPr>
    <w:rPr>
      <w:rFonts w:eastAsia="Times New Roman"/>
      <w:b w:val="false"/>
      <w:i w:val="false"/>
      <w:sz w:val="24"/>
      <w:szCs w:val="24"/>
      <w:lang w:val="x-none" w:bidi="en-US"/>
    </w:rPr>
  </w:style>
  <w:style w:type="paragraph" w:styleId="ListBullet">
    <w:name w:val="List Bullet"/>
    <w:basedOn w:val="Normal"/>
    <w:uiPriority w:val="99"/>
    <w:unhideWhenUsed/>
    <w:qFormat/>
    <w:rsid w:val="001371ad"/>
    <w:pPr>
      <w:tabs>
        <w:tab w:val="clear" w:pos="709"/>
      </w:tabs>
      <w:spacing w:lineRule="auto" w:line="276" w:before="0" w:after="200"/>
      <w:ind w:left="1428" w:hanging="0"/>
      <w:contextualSpacing/>
    </w:pPr>
    <w:rPr>
      <w:rFonts w:ascii="Calibri" w:hAnsi="Calibri"/>
      <w:sz w:val="22"/>
      <w:szCs w:val="22"/>
      <w:lang w:val="en-US" w:eastAsia="en-US" w:bidi="en-US"/>
    </w:rPr>
  </w:style>
  <w:style w:type="paragraph" w:styleId="139" w:customStyle="1">
    <w:name w:val="Заголовок1"/>
    <w:basedOn w:val="Normal"/>
    <w:next w:val="Style66"/>
    <w:qFormat/>
    <w:rsid w:val="001371ad"/>
    <w:pPr>
      <w:keepNext w:val="true"/>
      <w:suppressAutoHyphens w:val="true"/>
      <w:spacing w:lineRule="auto" w:line="276" w:before="240" w:after="120"/>
    </w:pPr>
    <w:rPr>
      <w:rFonts w:ascii="Arial" w:hAnsi="Arial" w:eastAsia="Lucida Sans Unicode" w:cs="Mangal"/>
      <w:sz w:val="28"/>
      <w:szCs w:val="28"/>
      <w:lang w:val="en-US" w:eastAsia="en-US" w:bidi="en-US"/>
    </w:rPr>
  </w:style>
  <w:style w:type="paragraph" w:styleId="140" w:customStyle="1">
    <w:name w:val="Название1"/>
    <w:basedOn w:val="Normal"/>
    <w:qFormat/>
    <w:rsid w:val="001371ad"/>
    <w:pPr>
      <w:suppressLineNumbers/>
      <w:suppressAutoHyphens w:val="true"/>
      <w:spacing w:lineRule="auto" w:line="276" w:before="120" w:after="120"/>
    </w:pPr>
    <w:rPr>
      <w:rFonts w:ascii="Arial" w:hAnsi="Arial" w:cs="Mangal"/>
      <w:i/>
      <w:iCs/>
      <w:sz w:val="20"/>
      <w:lang w:val="en-US" w:eastAsia="en-US" w:bidi="en-US"/>
    </w:rPr>
  </w:style>
  <w:style w:type="paragraph" w:styleId="141" w:customStyle="1">
    <w:name w:val="Указатель1"/>
    <w:basedOn w:val="Normal"/>
    <w:qFormat/>
    <w:rsid w:val="001371ad"/>
    <w:pPr>
      <w:suppressLineNumbers/>
      <w:suppressAutoHyphens w:val="true"/>
      <w:spacing w:lineRule="auto" w:line="276" w:before="0" w:after="200"/>
    </w:pPr>
    <w:rPr>
      <w:rFonts w:ascii="Arial" w:hAnsi="Arial" w:cs="Mangal"/>
      <w:sz w:val="22"/>
      <w:szCs w:val="22"/>
      <w:lang w:val="en-US" w:eastAsia="en-US" w:bidi="en-US"/>
    </w:rPr>
  </w:style>
  <w:style w:type="paragraph" w:styleId="1114" w:customStyle="1">
    <w:name w:val="Цветной список - Акцент 11"/>
    <w:basedOn w:val="Normal"/>
    <w:qFormat/>
    <w:rsid w:val="001371ad"/>
    <w:pPr>
      <w:suppressAutoHyphens w:val="true"/>
      <w:spacing w:lineRule="auto" w:line="276" w:before="0" w:after="200"/>
      <w:ind w:left="720" w:hanging="0"/>
    </w:pPr>
    <w:rPr>
      <w:rFonts w:ascii="Calibri" w:hAnsi="Calibri" w:cs="Calibri"/>
      <w:sz w:val="22"/>
      <w:szCs w:val="22"/>
      <w:lang w:val="en-US" w:eastAsia="en-US" w:bidi="en-US"/>
    </w:rPr>
  </w:style>
  <w:style w:type="paragraph" w:styleId="142" w:customStyle="1">
    <w:name w:val="Название объекта1"/>
    <w:basedOn w:val="Normal"/>
    <w:next w:val="Normal"/>
    <w:qFormat/>
    <w:rsid w:val="001371ad"/>
    <w:pPr>
      <w:suppressAutoHyphens w:val="true"/>
      <w:spacing w:before="0" w:after="200"/>
    </w:pPr>
    <w:rPr>
      <w:rFonts w:ascii="Calibri" w:hAnsi="Calibri" w:cs="Calibri"/>
      <w:b/>
      <w:bCs/>
      <w:color w:val="4F81BD"/>
      <w:sz w:val="18"/>
      <w:szCs w:val="18"/>
      <w:lang w:val="en-US" w:eastAsia="en-US" w:bidi="en-US"/>
    </w:rPr>
  </w:style>
  <w:style w:type="paragraph" w:styleId="143" w:customStyle="1">
    <w:name w:val="Без интервала1"/>
    <w:qFormat/>
    <w:rsid w:val="001371ad"/>
    <w:pPr>
      <w:widowControl/>
      <w:suppressAutoHyphens w:val="true"/>
      <w:bidi w:val="0"/>
      <w:spacing w:lineRule="auto" w:line="240"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1115" w:customStyle="1">
    <w:name w:val="Цветная сетка - Акцент 11"/>
    <w:basedOn w:val="Normal"/>
    <w:next w:val="Normal"/>
    <w:qFormat/>
    <w:rsid w:val="001371ad"/>
    <w:pPr>
      <w:suppressAutoHyphens w:val="true"/>
      <w:spacing w:lineRule="auto" w:line="276" w:before="0" w:after="200"/>
    </w:pPr>
    <w:rPr>
      <w:rFonts w:ascii="Calibri" w:hAnsi="Calibri" w:cs="Calibri"/>
      <w:i/>
      <w:iCs/>
      <w:color w:val="000000"/>
      <w:sz w:val="20"/>
      <w:szCs w:val="20"/>
      <w:lang w:val="en-US" w:eastAsia="ar-SA"/>
    </w:rPr>
  </w:style>
  <w:style w:type="paragraph" w:styleId="2110" w:customStyle="1">
    <w:name w:val="Светлая заливка - Акцент 21"/>
    <w:basedOn w:val="Normal"/>
    <w:next w:val="Normal"/>
    <w:qFormat/>
    <w:rsid w:val="001371ad"/>
    <w:pPr>
      <w:pBdr>
        <w:bottom w:val="single" w:sz="4" w:space="4" w:color="FFFF00"/>
      </w:pBdr>
      <w:suppressAutoHyphens w:val="true"/>
      <w:spacing w:lineRule="auto" w:line="276" w:before="200" w:after="280"/>
      <w:ind w:left="936" w:right="936" w:hanging="0"/>
    </w:pPr>
    <w:rPr>
      <w:rFonts w:ascii="Calibri" w:hAnsi="Calibri" w:cs="Calibri"/>
      <w:b/>
      <w:bCs/>
      <w:i/>
      <w:iCs/>
      <w:color w:val="4F81BD"/>
      <w:sz w:val="20"/>
      <w:szCs w:val="20"/>
      <w:lang w:val="en-US" w:eastAsia="ar-SA"/>
    </w:rPr>
  </w:style>
  <w:style w:type="paragraph" w:styleId="1116" w:customStyle="1">
    <w:name w:val="Цветная заливка - Акцент 11"/>
    <w:qFormat/>
    <w:rsid w:val="001371ad"/>
    <w:pPr>
      <w:widowControl/>
      <w:suppressAutoHyphens w:val="true"/>
      <w:bidi w:val="0"/>
      <w:spacing w:lineRule="auto" w:line="240"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144" w:customStyle="1">
    <w:name w:val="Маркированный список1"/>
    <w:basedOn w:val="Normal"/>
    <w:qFormat/>
    <w:rsid w:val="001371ad"/>
    <w:pPr>
      <w:tabs>
        <w:tab w:val="clear" w:pos="709"/>
        <w:tab w:val="left" w:pos="-500" w:leader="none"/>
      </w:tabs>
      <w:suppressAutoHyphens w:val="true"/>
      <w:spacing w:lineRule="auto" w:line="276" w:before="0" w:after="200"/>
      <w:ind w:left="928" w:hanging="360"/>
    </w:pPr>
    <w:rPr>
      <w:rFonts w:ascii="Calibri" w:hAnsi="Calibri" w:cs="Calibri"/>
      <w:sz w:val="22"/>
      <w:szCs w:val="22"/>
      <w:lang w:val="en-US" w:eastAsia="en-US" w:bidi="en-US"/>
    </w:rPr>
  </w:style>
  <w:style w:type="paragraph" w:styleId="Style76" w:customStyle="1">
    <w:name w:val="Содержимое таблицы"/>
    <w:basedOn w:val="Normal"/>
    <w:qFormat/>
    <w:rsid w:val="00bb1c17"/>
    <w:pPr>
      <w:widowControl w:val="false"/>
      <w:suppressLineNumbers/>
      <w:bidi w:val="0"/>
      <w:jc w:val="left"/>
    </w:pPr>
    <w:rPr>
      <w:rFonts w:ascii="Calibri" w:hAnsi="Calibri" w:eastAsia="Calibri" w:cs="" w:asciiTheme="minorHAnsi" w:cstheme="minorBidi" w:eastAsiaTheme="minorHAnsi" w:hAnsiTheme="minorHAnsi"/>
      <w:color w:val="auto"/>
      <w:kern w:val="0"/>
      <w:sz w:val="24"/>
      <w:szCs w:val="22"/>
      <w:lang w:val="ru-RU" w:eastAsia="en-US" w:bidi="ar-SA"/>
    </w:rPr>
  </w:style>
  <w:style w:type="paragraph" w:styleId="Style77" w:customStyle="1">
    <w:name w:val="Заголовок таблицы"/>
    <w:basedOn w:val="Style76"/>
    <w:qFormat/>
    <w:rsid w:val="001371ad"/>
    <w:pPr>
      <w:jc w:val="center"/>
    </w:pPr>
    <w:rPr>
      <w:b/>
      <w:bCs/>
    </w:rPr>
  </w:style>
  <w:style w:type="paragraph" w:styleId="10" w:customStyle="1">
    <w:name w:val="Оглавление 10"/>
    <w:basedOn w:val="141"/>
    <w:qFormat/>
    <w:rsid w:val="001371ad"/>
    <w:pPr>
      <w:tabs>
        <w:tab w:val="clear" w:pos="709"/>
        <w:tab w:val="right" w:pos="7091" w:leader="dot"/>
      </w:tabs>
      <w:ind w:left="2547" w:hanging="0"/>
    </w:pPr>
    <w:rPr/>
  </w:style>
  <w:style w:type="paragraph" w:styleId="Style78" w:customStyle="1">
    <w:name w:val="Содержимое врезки"/>
    <w:basedOn w:val="Style66"/>
    <w:qFormat/>
    <w:rsid w:val="001371ad"/>
    <w:pPr/>
    <w:rPr/>
  </w:style>
  <w:style w:type="paragraph" w:styleId="45">
    <w:name w:val="TOC 4"/>
    <w:basedOn w:val="141"/>
    <w:qFormat/>
    <w:rsid w:val="001371ad"/>
    <w:pPr>
      <w:suppressAutoHyphens w:val="false"/>
      <w:spacing w:before="0" w:after="0"/>
      <w:ind w:left="480" w:hanging="0"/>
    </w:pPr>
    <w:rPr>
      <w:rFonts w:ascii="Calibri" w:hAnsi="Calibri" w:eastAsia="Calibri" w:cs="Times New Roman" w:asciiTheme="minorHAnsi" w:hAnsiTheme="minorHAnsi"/>
      <w:sz w:val="20"/>
      <w:szCs w:val="20"/>
      <w:lang w:val="ru-RU" w:bidi="ar-SA"/>
    </w:rPr>
  </w:style>
  <w:style w:type="paragraph" w:styleId="54">
    <w:name w:val="TOC 5"/>
    <w:basedOn w:val="141"/>
    <w:qFormat/>
    <w:rsid w:val="001371ad"/>
    <w:pPr>
      <w:suppressAutoHyphens w:val="false"/>
      <w:spacing w:before="0" w:after="0"/>
      <w:ind w:left="720" w:hanging="0"/>
    </w:pPr>
    <w:rPr>
      <w:rFonts w:ascii="Calibri" w:hAnsi="Calibri" w:eastAsia="Calibri" w:cs="Times New Roman" w:asciiTheme="minorHAnsi" w:hAnsiTheme="minorHAnsi"/>
      <w:sz w:val="20"/>
      <w:szCs w:val="20"/>
      <w:lang w:val="ru-RU" w:bidi="ar-SA"/>
    </w:rPr>
  </w:style>
  <w:style w:type="paragraph" w:styleId="63">
    <w:name w:val="TOC 6"/>
    <w:basedOn w:val="141"/>
    <w:rsid w:val="001371ad"/>
    <w:pPr>
      <w:suppressAutoHyphens w:val="false"/>
      <w:spacing w:before="0" w:after="0"/>
      <w:ind w:left="960" w:hanging="0"/>
    </w:pPr>
    <w:rPr>
      <w:rFonts w:ascii="Calibri" w:hAnsi="Calibri" w:eastAsia="Calibri" w:cs="Times New Roman" w:asciiTheme="minorHAnsi" w:hAnsiTheme="minorHAnsi"/>
      <w:sz w:val="20"/>
      <w:szCs w:val="20"/>
      <w:lang w:val="ru-RU" w:bidi="ar-SA"/>
    </w:rPr>
  </w:style>
  <w:style w:type="paragraph" w:styleId="75">
    <w:name w:val="TOC 7"/>
    <w:basedOn w:val="141"/>
    <w:rsid w:val="001371ad"/>
    <w:pPr>
      <w:suppressAutoHyphens w:val="false"/>
      <w:spacing w:before="0" w:after="0"/>
      <w:ind w:left="1200" w:hanging="0"/>
    </w:pPr>
    <w:rPr>
      <w:rFonts w:ascii="Calibri" w:hAnsi="Calibri" w:eastAsia="Calibri" w:cs="Times New Roman" w:asciiTheme="minorHAnsi" w:hAnsiTheme="minorHAnsi"/>
      <w:sz w:val="20"/>
      <w:szCs w:val="20"/>
      <w:lang w:val="ru-RU" w:bidi="ar-SA"/>
    </w:rPr>
  </w:style>
  <w:style w:type="paragraph" w:styleId="84">
    <w:name w:val="TOC 8"/>
    <w:basedOn w:val="141"/>
    <w:rsid w:val="001371ad"/>
    <w:pPr>
      <w:suppressAutoHyphens w:val="false"/>
      <w:spacing w:before="0" w:after="0"/>
      <w:ind w:left="1440" w:hanging="0"/>
    </w:pPr>
    <w:rPr>
      <w:rFonts w:ascii="Calibri" w:hAnsi="Calibri" w:eastAsia="Calibri" w:cs="Times New Roman" w:asciiTheme="minorHAnsi" w:hAnsiTheme="minorHAnsi"/>
      <w:sz w:val="20"/>
      <w:szCs w:val="20"/>
      <w:lang w:val="ru-RU" w:bidi="ar-SA"/>
    </w:rPr>
  </w:style>
  <w:style w:type="paragraph" w:styleId="92">
    <w:name w:val="TOC 9"/>
    <w:basedOn w:val="141"/>
    <w:rsid w:val="001371ad"/>
    <w:pPr>
      <w:suppressAutoHyphens w:val="false"/>
      <w:spacing w:before="0" w:after="0"/>
      <w:ind w:left="1680" w:hanging="0"/>
    </w:pPr>
    <w:rPr>
      <w:rFonts w:ascii="Calibri" w:hAnsi="Calibri" w:eastAsia="Calibri" w:cs="Times New Roman" w:asciiTheme="minorHAnsi" w:hAnsiTheme="minorHAnsi"/>
      <w:sz w:val="20"/>
      <w:szCs w:val="20"/>
      <w:lang w:val="ru-RU" w:bidi="ar-SA"/>
    </w:rPr>
  </w:style>
  <w:style w:type="paragraph" w:styleId="Revision">
    <w:name w:val="Revision"/>
    <w:uiPriority w:val="99"/>
    <w:semiHidden/>
    <w:qFormat/>
    <w:rsid w:val="001371ad"/>
    <w:pPr>
      <w:widowControl/>
      <w:bidi w:val="0"/>
      <w:spacing w:lineRule="auto" w:line="240" w:before="0" w:after="0"/>
      <w:jc w:val="left"/>
    </w:pPr>
    <w:rPr>
      <w:rFonts w:ascii="Calibri" w:hAnsi="Calibri" w:eastAsia="Times New Roman" w:cs="Calibri" w:asciiTheme="minorHAnsi" w:hAnsiTheme="minorHAnsi"/>
      <w:color w:val="auto"/>
      <w:kern w:val="0"/>
      <w:sz w:val="24"/>
      <w:szCs w:val="22"/>
      <w:lang w:val="en-US" w:eastAsia="en-US" w:bidi="en-US"/>
    </w:rPr>
  </w:style>
  <w:style w:type="paragraph" w:styleId="Style79">
    <w:name w:val="Endnote Text"/>
    <w:basedOn w:val="Normal"/>
    <w:link w:val="affe"/>
    <w:rsid w:val="001371ad"/>
    <w:pPr>
      <w:suppressAutoHyphens w:val="true"/>
    </w:pPr>
    <w:rPr>
      <w:rFonts w:ascii="Calibri" w:hAnsi="Calibri" w:cs="Calibri"/>
      <w:sz w:val="20"/>
      <w:szCs w:val="20"/>
      <w:lang w:val="en-US" w:eastAsia="en-US" w:bidi="en-US"/>
    </w:rPr>
  </w:style>
  <w:style w:type="paragraph" w:styleId="225" w:customStyle="1">
    <w:name w:val="Заголовок оглавления2"/>
    <w:basedOn w:val="1"/>
    <w:next w:val="Normal"/>
    <w:qFormat/>
    <w:rsid w:val="001371ad"/>
    <w:pPr>
      <w:keepNext w:val="false"/>
      <w:suppressAutoHyphens w:val="true"/>
      <w:spacing w:beforeAutospacing="1" w:after="0"/>
      <w:ind w:firstLine="709"/>
      <w:contextualSpacing/>
      <w:jc w:val="center"/>
    </w:pPr>
    <w:rPr>
      <w:rFonts w:ascii="Times New Roman" w:hAnsi="Times New Roman" w:cs="Calibri"/>
      <w:b w:val="false"/>
      <w:i/>
      <w:kern w:val="0"/>
      <w:sz w:val="24"/>
      <w:szCs w:val="22"/>
      <w:lang w:eastAsia="ru-RU"/>
    </w:rPr>
  </w:style>
  <w:style w:type="paragraph" w:styleId="226" w:customStyle="1">
    <w:name w:val="Без интервала2"/>
    <w:qFormat/>
    <w:rsid w:val="001371ad"/>
    <w:pPr>
      <w:widowControl/>
      <w:suppressAutoHyphens w:val="true"/>
      <w:bidi w:val="0"/>
      <w:spacing w:lineRule="auto" w:line="240"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Font5" w:customStyle="1">
    <w:name w:val="font5"/>
    <w:basedOn w:val="Normal"/>
    <w:qFormat/>
    <w:rsid w:val="001371ad"/>
    <w:pPr>
      <w:spacing w:beforeAutospacing="1" w:afterAutospacing="1"/>
    </w:pPr>
    <w:rPr>
      <w:rFonts w:ascii="Tahoma" w:hAnsi="Tahoma" w:cs="Tahoma"/>
      <w:b/>
      <w:bCs/>
      <w:color w:val="000000"/>
      <w:sz w:val="16"/>
      <w:szCs w:val="16"/>
    </w:rPr>
  </w:style>
  <w:style w:type="paragraph" w:styleId="Font6" w:customStyle="1">
    <w:name w:val="font6"/>
    <w:basedOn w:val="Normal"/>
    <w:qFormat/>
    <w:rsid w:val="001371ad"/>
    <w:pPr>
      <w:spacing w:beforeAutospacing="1" w:afterAutospacing="1"/>
    </w:pPr>
    <w:rPr>
      <w:rFonts w:ascii="Tahoma" w:hAnsi="Tahoma" w:cs="Tahoma"/>
      <w:color w:val="000000"/>
      <w:sz w:val="16"/>
      <w:szCs w:val="16"/>
    </w:rPr>
  </w:style>
  <w:style w:type="paragraph" w:styleId="Xl63" w:customStyle="1">
    <w:name w:val="xl63"/>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000000"/>
      <w:sz w:val="20"/>
      <w:szCs w:val="20"/>
    </w:rPr>
  </w:style>
  <w:style w:type="paragraph" w:styleId="Xl64" w:customStyle="1">
    <w:name w:val="xl64"/>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000000"/>
      <w:sz w:val="20"/>
      <w:szCs w:val="20"/>
    </w:rPr>
  </w:style>
  <w:style w:type="paragraph" w:styleId="Bodytext41" w:customStyle="1">
    <w:name w:val="Body text (4)"/>
    <w:basedOn w:val="Normal"/>
    <w:link w:val="Bodytext4"/>
    <w:qFormat/>
    <w:rsid w:val="00d76749"/>
    <w:pPr>
      <w:shd w:val="clear" w:color="auto" w:fill="FFFFFF"/>
      <w:spacing w:lineRule="auto" w:line="240"/>
      <w:ind w:hanging="300"/>
    </w:pPr>
    <w:rPr>
      <w:rFonts w:ascii="Franklin Gothic Book" w:hAnsi="Franklin Gothic Book" w:eastAsia="Franklin Gothic Book" w:cs="Franklin Gothic Book"/>
      <w:sz w:val="23"/>
      <w:szCs w:val="23"/>
      <w:lang w:eastAsia="en-US"/>
    </w:rPr>
  </w:style>
  <w:style w:type="paragraph" w:styleId="1310" w:customStyle="1">
    <w:name w:val="Основной текст13"/>
    <w:basedOn w:val="Normal"/>
    <w:link w:val="Bodytext"/>
    <w:qFormat/>
    <w:rsid w:val="00d76749"/>
    <w:pPr>
      <w:shd w:val="clear" w:color="auto" w:fill="FFFFFF"/>
      <w:spacing w:lineRule="auto" w:line="240"/>
      <w:ind w:hanging="360"/>
    </w:pPr>
    <w:rPr>
      <w:rFonts w:ascii="Franklin Gothic Book" w:hAnsi="Franklin Gothic Book" w:eastAsia="Franklin Gothic Book" w:cs="Franklin Gothic Book"/>
      <w:sz w:val="23"/>
      <w:szCs w:val="23"/>
      <w:lang w:eastAsia="en-US"/>
    </w:rPr>
  </w:style>
  <w:style w:type="paragraph" w:styleId="227" w:customStyle="1">
    <w:name w:val="Текст-2"/>
    <w:basedOn w:val="Normal"/>
    <w:link w:val="-22"/>
    <w:qFormat/>
    <w:rsid w:val="00fe6fa1"/>
    <w:pPr>
      <w:suppressLineNumbers/>
      <w:tabs>
        <w:tab w:val="clear" w:pos="709"/>
        <w:tab w:val="left" w:pos="540" w:leader="dot"/>
      </w:tabs>
      <w:suppressAutoHyphens w:val="true"/>
      <w:spacing w:before="120" w:after="0"/>
      <w:ind w:firstLine="539"/>
      <w:jc w:val="both"/>
    </w:pPr>
    <w:rPr>
      <w:rFonts w:ascii="Times New Roman CYR" w:hAnsi="Times New Roman CYR" w:cs="Times New Roman CYR"/>
      <w:sz w:val="26"/>
      <w:szCs w:val="26"/>
    </w:rPr>
  </w:style>
  <w:style w:type="paragraph" w:styleId="228" w:customStyle="1">
    <w:name w:val="Стиль2_Часть"/>
    <w:basedOn w:val="2"/>
    <w:qFormat/>
    <w:rsid w:val="00fe6fa1"/>
    <w:pPr>
      <w:keepNext w:val="false"/>
      <w:keepLines w:val="false"/>
      <w:suppressAutoHyphens w:val="true"/>
      <w:spacing w:lineRule="auto" w:line="240" w:before="120" w:after="240"/>
      <w:ind w:left="1417" w:hanging="1060"/>
      <w:jc w:val="left"/>
    </w:pPr>
    <w:rPr>
      <w:rFonts w:eastAsia="Times New Roman"/>
      <w:kern w:val="2"/>
      <w:sz w:val="24"/>
      <w:lang w:val="x-none"/>
    </w:rPr>
  </w:style>
  <w:style w:type="paragraph" w:styleId="313" w:customStyle="1">
    <w:name w:val="Стиль3_Подпункты"/>
    <w:basedOn w:val="2"/>
    <w:qFormat/>
    <w:rsid w:val="00fe6fa1"/>
    <w:pPr>
      <w:keepNext w:val="false"/>
      <w:keepLines w:val="false"/>
      <w:suppressAutoHyphens w:val="true"/>
      <w:spacing w:lineRule="auto" w:line="240" w:before="120" w:after="240"/>
      <w:ind w:left="1418" w:hanging="698"/>
      <w:jc w:val="left"/>
    </w:pPr>
    <w:rPr>
      <w:rFonts w:eastAsia="Times New Roman"/>
      <w:kern w:val="2"/>
      <w:sz w:val="24"/>
      <w:lang w:val="x-none"/>
    </w:rPr>
  </w:style>
  <w:style w:type="paragraph" w:styleId="Style80" w:customStyle="1">
    <w:name w:val="Подрисуночная надпись"/>
    <w:basedOn w:val="Normal"/>
    <w:autoRedefine/>
    <w:qFormat/>
    <w:rsid w:val="00fe6fa1"/>
    <w:pPr>
      <w:suppressLineNumbers/>
      <w:suppressAutoHyphens w:val="true"/>
      <w:spacing w:before="120" w:after="240"/>
      <w:jc w:val="both"/>
    </w:pPr>
    <w:rPr>
      <w:b/>
      <w:bCs/>
      <w:lang w:val="x-none" w:eastAsia="x-none"/>
    </w:rPr>
  </w:style>
  <w:style w:type="paragraph" w:styleId="Style82" w:customStyle="1">
    <w:name w:val="Заголовок рис."/>
    <w:basedOn w:val="Style80"/>
    <w:link w:val="afff2"/>
    <w:qFormat/>
    <w:rsid w:val="00fe6fa1"/>
    <w:pPr>
      <w:tabs>
        <w:tab w:val="left" w:pos="709" w:leader="none"/>
        <w:tab w:val="left" w:pos="1134" w:leader="none"/>
      </w:tabs>
      <w:suppressAutoHyphens w:val="false"/>
      <w:spacing w:before="60" w:after="240"/>
    </w:pPr>
    <w:rPr>
      <w:bCs w:val="false"/>
      <w:szCs w:val="20"/>
    </w:rPr>
  </w:style>
  <w:style w:type="paragraph" w:styleId="145" w:customStyle="1">
    <w:name w:val="Стиль1_ГЛАВА"/>
    <w:basedOn w:val="1"/>
    <w:qFormat/>
    <w:rsid w:val="00fe6fa1"/>
    <w:pPr>
      <w:keepNext w:val="false"/>
      <w:pageBreakBefore/>
      <w:tabs>
        <w:tab w:val="clear" w:pos="709"/>
        <w:tab w:val="left" w:pos="1560" w:leader="none"/>
      </w:tabs>
      <w:suppressAutoHyphens w:val="true"/>
      <w:spacing w:lineRule="auto" w:line="240" w:before="120" w:after="240"/>
    </w:pPr>
    <w:rPr>
      <w:rFonts w:ascii="Times New Roman" w:hAnsi="Times New Roman"/>
      <w:caps/>
      <w:kern w:val="2"/>
      <w:sz w:val="28"/>
      <w:szCs w:val="28"/>
      <w:lang w:val="x-none"/>
    </w:rPr>
  </w:style>
  <w:style w:type="paragraph" w:styleId="146" w:customStyle="1">
    <w:name w:val="Знак Знак Знак Знак Знак Знак Знак Знак Знак Знак Знак Знак Знак Знак Знак Знак1"/>
    <w:basedOn w:val="Normal"/>
    <w:qFormat/>
    <w:rsid w:val="008b386b"/>
    <w:pPr>
      <w:tabs>
        <w:tab w:val="clear" w:pos="709"/>
        <w:tab w:val="left" w:pos="432" w:leader="none"/>
      </w:tabs>
      <w:spacing w:before="120" w:after="160"/>
      <w:ind w:left="432" w:hanging="432"/>
      <w:jc w:val="both"/>
    </w:pPr>
    <w:rPr>
      <w:b/>
      <w:bCs/>
      <w:caps/>
      <w:sz w:val="32"/>
      <w:szCs w:val="32"/>
      <w:lang w:val="en-US" w:eastAsia="en-US"/>
    </w:rPr>
  </w:style>
  <w:style w:type="paragraph" w:styleId="1117" w:customStyle="1">
    <w:name w:val="Заголовок оглавления11"/>
    <w:basedOn w:val="1"/>
    <w:next w:val="Normal"/>
    <w:qFormat/>
    <w:rsid w:val="0093798c"/>
    <w:pPr>
      <w:keepLines/>
      <w:suppressAutoHyphens w:val="true"/>
      <w:spacing w:before="480" w:after="0"/>
      <w:jc w:val="center"/>
    </w:pPr>
    <w:rPr>
      <w:rFonts w:ascii="Times New Roman" w:hAnsi="Times New Roman" w:cs="Calibri"/>
      <w:kern w:val="0"/>
      <w:sz w:val="24"/>
      <w:szCs w:val="28"/>
      <w:lang w:val="en-US" w:bidi="en-US"/>
    </w:rPr>
  </w:style>
  <w:style w:type="paragraph" w:styleId="Style91" w:customStyle="1">
    <w:name w:val="Style9"/>
    <w:basedOn w:val="Normal"/>
    <w:uiPriority w:val="99"/>
    <w:qFormat/>
    <w:rsid w:val="0093798c"/>
    <w:pPr>
      <w:widowControl w:val="false"/>
      <w:spacing w:lineRule="exact" w:line="451"/>
      <w:ind w:firstLine="475"/>
      <w:jc w:val="both"/>
    </w:pPr>
    <w:rPr>
      <w:rFonts w:ascii="Tahoma" w:hAnsi="Tahoma" w:eastAsia="" w:cs="Tahoma" w:eastAsiaTheme="minorEastAsia"/>
    </w:rPr>
  </w:style>
  <w:style w:type="paragraph" w:styleId="147" w:customStyle="1">
    <w:name w:val="Основной текст1"/>
    <w:basedOn w:val="Normal"/>
    <w:link w:val="afff3"/>
    <w:qFormat/>
    <w:rsid w:val="0093798c"/>
    <w:pPr>
      <w:shd w:val="clear" w:color="auto" w:fill="FFFFFF"/>
      <w:spacing w:lineRule="auto" w:line="240" w:before="180" w:after="840"/>
      <w:jc w:val="center"/>
    </w:pPr>
    <w:rPr>
      <w:sz w:val="28"/>
      <w:szCs w:val="28"/>
    </w:rPr>
  </w:style>
  <w:style w:type="paragraph" w:styleId="Style83">
    <w:name w:val="Footnote Text"/>
    <w:basedOn w:val="Normal"/>
    <w:link w:val="afff5"/>
    <w:semiHidden/>
    <w:unhideWhenUsed/>
    <w:rsid w:val="00852c29"/>
    <w:pPr/>
    <w:rPr>
      <w:sz w:val="20"/>
      <w:szCs w:val="20"/>
    </w:rPr>
  </w:style>
  <w:style w:type="paragraph" w:styleId="148" w:customStyle="1">
    <w:name w:val="АЗаголов 1"/>
    <w:basedOn w:val="229"/>
    <w:link w:val="1ff0"/>
    <w:qFormat/>
    <w:rsid w:val="007c5f3d"/>
    <w:pPr>
      <w:outlineLvl w:val="0"/>
    </w:pPr>
    <w:rPr>
      <w:i w:val="false"/>
    </w:rPr>
  </w:style>
  <w:style w:type="paragraph" w:styleId="Style84" w:customStyle="1">
    <w:name w:val="АРисун"/>
    <w:basedOn w:val="Caption"/>
    <w:link w:val="afff8"/>
    <w:qFormat/>
    <w:rsid w:val="00d73ca6"/>
    <w:pPr>
      <w:spacing w:before="0" w:after="240"/>
      <w:ind w:hanging="0"/>
      <w:jc w:val="center"/>
    </w:pPr>
    <w:rPr>
      <w:rFonts w:ascii="Times New Roman" w:hAnsi="Times New Roman"/>
      <w:b w:val="false"/>
      <w:i/>
      <w:color w:val="auto"/>
      <w:sz w:val="24"/>
      <w:szCs w:val="24"/>
    </w:rPr>
  </w:style>
  <w:style w:type="paragraph" w:styleId="A1" w:customStyle="1">
    <w:name w:val="Aобычный текст"/>
    <w:basedOn w:val="Normal"/>
    <w:link w:val="Afffa"/>
    <w:qFormat/>
    <w:rsid w:val="007c5f3d"/>
    <w:pPr>
      <w:spacing w:lineRule="auto" w:line="300" w:before="0" w:after="0"/>
      <w:ind w:firstLine="567"/>
      <w:contextualSpacing/>
      <w:jc w:val="both"/>
    </w:pPr>
    <w:rPr>
      <w:rFonts w:eastAsia="Calibri"/>
      <w:lang w:eastAsia="en-US"/>
    </w:rPr>
  </w:style>
  <w:style w:type="paragraph" w:styleId="Style85" w:customStyle="1">
    <w:name w:val="АТаблицы"/>
    <w:basedOn w:val="Caption"/>
    <w:link w:val="afffc"/>
    <w:qFormat/>
    <w:rsid w:val="005819bc"/>
    <w:pPr>
      <w:keepNext w:val="true"/>
      <w:spacing w:lineRule="auto" w:line="276" w:before="120" w:after="0"/>
      <w:jc w:val="right"/>
    </w:pPr>
    <w:rPr>
      <w:rFonts w:ascii="Times New Roman" w:hAnsi="Times New Roman"/>
      <w:b w:val="false"/>
      <w:i/>
      <w:color w:val="auto"/>
      <w:sz w:val="24"/>
      <w:szCs w:val="24"/>
    </w:rPr>
  </w:style>
  <w:style w:type="paragraph" w:styleId="229" w:customStyle="1">
    <w:name w:val="АЗаголов 2"/>
    <w:basedOn w:val="314"/>
    <w:link w:val="2f0"/>
    <w:qFormat/>
    <w:rsid w:val="00e96454"/>
    <w:pPr>
      <w:spacing w:lineRule="auto" w:line="300"/>
      <w:outlineLvl w:val="1"/>
    </w:pPr>
    <w:rPr>
      <w:sz w:val="24"/>
      <w:szCs w:val="24"/>
    </w:rPr>
  </w:style>
  <w:style w:type="paragraph" w:styleId="314" w:customStyle="1">
    <w:name w:val="АЗаголов 3"/>
    <w:basedOn w:val="2"/>
    <w:link w:val="37"/>
    <w:qFormat/>
    <w:rsid w:val="008b2498"/>
    <w:pPr>
      <w:spacing w:before="120" w:after="240"/>
      <w:outlineLvl w:val="2"/>
    </w:pPr>
    <w:rPr>
      <w:rFonts w:eastAsia="Times New Roman"/>
      <w:i/>
      <w:sz w:val="28"/>
      <w:szCs w:val="28"/>
      <w:lang w:eastAsia="ru-RU"/>
    </w:rPr>
  </w:style>
  <w:style w:type="paragraph" w:styleId="ConsCell" w:customStyle="1">
    <w:name w:val="ConsCell"/>
    <w:uiPriority w:val="99"/>
    <w:qFormat/>
    <w:rsid w:val="00fa6974"/>
    <w:pPr>
      <w:widowControl w:val="false"/>
      <w:bidi w:val="0"/>
      <w:spacing w:lineRule="auto" w:line="240" w:before="0" w:after="0"/>
      <w:ind w:right="19772" w:hanging="0"/>
      <w:jc w:val="left"/>
    </w:pPr>
    <w:rPr>
      <w:rFonts w:ascii="Arial" w:hAnsi="Arial" w:eastAsia="Times New Roman" w:cs="Arial"/>
      <w:color w:val="auto"/>
      <w:kern w:val="0"/>
      <w:sz w:val="20"/>
      <w:szCs w:val="20"/>
      <w:lang w:val="ru-RU" w:eastAsia="ru-RU" w:bidi="ar-SA"/>
    </w:rPr>
  </w:style>
  <w:style w:type="paragraph" w:styleId="TableParagraph" w:customStyle="1">
    <w:name w:val="Table Paragraph"/>
    <w:basedOn w:val="Normal"/>
    <w:uiPriority w:val="1"/>
    <w:qFormat/>
    <w:rsid w:val="00333161"/>
    <w:pPr>
      <w:widowControl w:val="false"/>
    </w:pPr>
    <w:rPr>
      <w:rFonts w:ascii="Calibri" w:hAnsi="Calibri" w:eastAsia="Calibri"/>
      <w:sz w:val="22"/>
      <w:szCs w:val="22"/>
      <w:lang w:val="en-US" w:eastAsia="en-US"/>
    </w:rPr>
  </w:style>
  <w:style w:type="paragraph" w:styleId="Preformat" w:customStyle="1">
    <w:name w:val="Preformat"/>
    <w:qFormat/>
    <w:rsid w:val="00931e1c"/>
    <w:pPr>
      <w:widowControl/>
      <w:overflowPunct w:val="true"/>
      <w:bidi w:val="0"/>
      <w:spacing w:lineRule="auto" w:line="240" w:before="0" w:after="0"/>
      <w:jc w:val="left"/>
    </w:pPr>
    <w:rPr>
      <w:rFonts w:ascii="Courier New" w:hAnsi="Courier New" w:eastAsia="Times New Roman" w:cs="Times New Roman"/>
      <w:color w:val="auto"/>
      <w:kern w:val="0"/>
      <w:sz w:val="20"/>
      <w:szCs w:val="20"/>
      <w:lang w:val="ru-RU" w:eastAsia="ru-RU" w:bidi="ar-SA"/>
    </w:rPr>
  </w:style>
  <w:style w:type="paragraph" w:styleId="149" w:customStyle="1">
    <w:name w:val="Обычный1"/>
    <w:qFormat/>
    <w:rsid w:val="00985a7c"/>
    <w:pPr>
      <w:widowControl w:val="false"/>
      <w:bidi w:val="0"/>
      <w:snapToGrid w:val="false"/>
      <w:spacing w:lineRule="auto" w:line="300" w:before="240" w:after="0"/>
      <w:ind w:firstLine="700"/>
      <w:jc w:val="both"/>
    </w:pPr>
    <w:rPr>
      <w:rFonts w:ascii="Times New Roman" w:hAnsi="Times New Roman" w:eastAsia="Times New Roman" w:cs="Times New Roman"/>
      <w:color w:val="auto"/>
      <w:kern w:val="0"/>
      <w:sz w:val="24"/>
      <w:szCs w:val="20"/>
      <w:lang w:val="ru-RU" w:eastAsia="ru-RU" w:bidi="ar-SA"/>
    </w:rPr>
  </w:style>
  <w:style w:type="paragraph" w:styleId="46" w:customStyle="1">
    <w:name w:val="Азаголов 4"/>
    <w:basedOn w:val="4"/>
    <w:link w:val="46"/>
    <w:qFormat/>
    <w:rsid w:val="00977423"/>
    <w:pPr>
      <w:tabs>
        <w:tab w:val="clear" w:pos="709"/>
        <w:tab w:val="left" w:pos="1134" w:leader="none"/>
      </w:tabs>
      <w:spacing w:before="240" w:after="240"/>
      <w:outlineLvl w:val="2"/>
    </w:pPr>
    <w:rPr>
      <w:rFonts w:ascii="Times New Roman" w:hAnsi="Times New Roman"/>
      <w:sz w:val="28"/>
      <w:szCs w:val="28"/>
      <w:lang w:eastAsia="ar-SA"/>
    </w:rPr>
  </w:style>
  <w:style w:type="paragraph" w:styleId="55" w:customStyle="1">
    <w:name w:val="АЗаголов 5"/>
    <w:basedOn w:val="ListParagraph11"/>
    <w:link w:val="55"/>
    <w:qFormat/>
    <w:rsid w:val="00da0026"/>
    <w:pPr>
      <w:spacing w:lineRule="auto" w:line="360" w:before="0" w:after="0"/>
      <w:ind w:left="0" w:firstLine="567"/>
      <w:contextualSpacing/>
      <w:jc w:val="center"/>
      <w:outlineLvl w:val="3"/>
    </w:pPr>
    <w:rPr>
      <w:rFonts w:ascii="Times New Roman" w:hAnsi="Times New Roman"/>
      <w:i/>
      <w:sz w:val="28"/>
      <w:szCs w:val="28"/>
      <w:lang w:val="ru-RU"/>
    </w:rPr>
  </w:style>
  <w:style w:type="paragraph" w:styleId="Style86" w:customStyle="1">
    <w:name w:val="Знак Знак Знак Знак Знак Знак Знак Знак Знак Знак Знак Знак Знак Знак Знак Знак Знак Знак Знак"/>
    <w:basedOn w:val="Normal"/>
    <w:qFormat/>
    <w:rsid w:val="001548d6"/>
    <w:pPr>
      <w:tabs>
        <w:tab w:val="clear" w:pos="709"/>
        <w:tab w:val="left" w:pos="432" w:leader="none"/>
      </w:tabs>
      <w:spacing w:before="120" w:after="160"/>
      <w:ind w:left="432" w:hanging="432"/>
      <w:jc w:val="both"/>
    </w:pPr>
    <w:rPr>
      <w:b/>
      <w:bCs/>
      <w:caps/>
      <w:sz w:val="32"/>
      <w:szCs w:val="32"/>
      <w:lang w:val="en-US" w:eastAsia="en-US"/>
    </w:rPr>
  </w:style>
  <w:style w:type="paragraph" w:styleId="ConsPlusCell" w:customStyle="1">
    <w:name w:val="ConsPlusCell"/>
    <w:uiPriority w:val="99"/>
    <w:qFormat/>
    <w:rsid w:val="00b16ae7"/>
    <w:pPr>
      <w:widowControl w:val="false"/>
      <w:bidi w:val="0"/>
      <w:spacing w:lineRule="auto" w:line="240" w:before="0" w:after="0"/>
      <w:jc w:val="left"/>
    </w:pPr>
    <w:rPr>
      <w:rFonts w:ascii="Times New Roman" w:hAnsi="Times New Roman" w:eastAsia="Times New Roman" w:cs="Times New Roman"/>
      <w:color w:val="auto"/>
      <w:kern w:val="0"/>
      <w:sz w:val="28"/>
      <w:szCs w:val="28"/>
      <w:lang w:val="ru-RU" w:eastAsia="ru-RU" w:bidi="ar-SA"/>
    </w:rPr>
  </w:style>
  <w:style w:type="paragraph" w:styleId="Style87" w:customStyle="1">
    <w:name w:val="Основной ГП"/>
    <w:basedOn w:val="Caption"/>
    <w:link w:val="affff"/>
    <w:qFormat/>
    <w:rsid w:val="00b105c4"/>
    <w:pPr>
      <w:keepNext w:val="true"/>
      <w:widowControl/>
      <w:spacing w:before="0" w:after="200"/>
      <w:ind w:hanging="0"/>
      <w:jc w:val="right"/>
      <w:textAlignment w:val="auto"/>
    </w:pPr>
    <w:rPr>
      <w:rFonts w:ascii="Times New Roman" w:hAnsi="Times New Roman" w:eastAsia="" w:eastAsiaTheme="minorEastAsia"/>
      <w:i/>
      <w:color w:val="000000"/>
      <w:spacing w:val="0"/>
      <w:sz w:val="20"/>
      <w:szCs w:val="20"/>
      <w:lang w:eastAsia="ru-RU"/>
    </w:rPr>
  </w:style>
  <w:style w:type="paragraph" w:styleId="Style88" w:customStyle="1">
    <w:name w:val="Название таблицы"/>
    <w:basedOn w:val="Caption"/>
    <w:qFormat/>
    <w:rsid w:val="003f112f"/>
    <w:pPr>
      <w:keepNext w:val="true"/>
      <w:widowControl/>
      <w:spacing w:before="240" w:after="0"/>
      <w:ind w:hanging="0"/>
      <w:jc w:val="left"/>
      <w:textAlignment w:val="auto"/>
    </w:pPr>
    <w:rPr>
      <w:rFonts w:ascii="Calibri" w:hAnsi="Calibri" w:eastAsia="Times New Roman" w:asciiTheme="minorHAnsi" w:hAnsiTheme="minorHAnsi"/>
      <w:color w:val="auto"/>
      <w:spacing w:val="0"/>
      <w:sz w:val="24"/>
      <w:szCs w:val="22"/>
      <w:lang w:eastAsia="ru-RU"/>
    </w:rPr>
  </w:style>
  <w:style w:type="paragraph" w:styleId="Style89" w:customStyle="1">
    <w:name w:val="Табличный_центр"/>
    <w:basedOn w:val="Normal"/>
    <w:qFormat/>
    <w:rsid w:val="003f112f"/>
    <w:pPr>
      <w:shd w:val="clear" w:color="auto" w:fill="FFFFFF" w:themeFill="background1"/>
      <w:jc w:val="center"/>
    </w:pPr>
    <w:rPr>
      <w:rFonts w:ascii="Calibri" w:hAnsi="Calibri" w:asciiTheme="minorHAnsi" w:hAnsiTheme="minorHAnsi"/>
      <w:sz w:val="22"/>
      <w:szCs w:val="22"/>
    </w:rPr>
  </w:style>
  <w:style w:type="paragraph" w:styleId="Tableoffigures">
    <w:name w:val="table of figures"/>
    <w:basedOn w:val="Normal"/>
    <w:next w:val="Normal"/>
    <w:uiPriority w:val="99"/>
    <w:semiHidden/>
    <w:unhideWhenUsed/>
    <w:qFormat/>
    <w:rsid w:val="0007092f"/>
    <w:pPr/>
    <w:rPr/>
  </w:style>
  <w:style w:type="paragraph" w:styleId="Style90" w:customStyle="1">
    <w:name w:val="Знак Знак Знак Знак Знак Знак Знак Знак Знак Знак Знак Знак Знак Знак Знак Знак Знак Знак"/>
    <w:basedOn w:val="Normal"/>
    <w:qFormat/>
    <w:rsid w:val="00017b38"/>
    <w:pPr>
      <w:tabs>
        <w:tab w:val="clear" w:pos="709"/>
        <w:tab w:val="left" w:pos="432" w:leader="none"/>
      </w:tabs>
      <w:spacing w:before="120" w:after="160"/>
      <w:ind w:left="432" w:hanging="432"/>
      <w:jc w:val="both"/>
    </w:pPr>
    <w:rPr>
      <w:b/>
      <w:bCs/>
      <w:caps/>
      <w:sz w:val="32"/>
      <w:szCs w:val="32"/>
      <w:lang w:val="en-US" w:eastAsia="en-US"/>
    </w:rPr>
  </w:style>
  <w:style w:type="paragraph" w:styleId="1118" w:customStyle="1">
    <w:name w:val="Знак Знак Знак Знак Знак Знак Знак Знак Знак Знак Знак Знак Знак Знак Знак Знак11"/>
    <w:basedOn w:val="Normal"/>
    <w:qFormat/>
    <w:rsid w:val="00ab3830"/>
    <w:pPr>
      <w:tabs>
        <w:tab w:val="clear" w:pos="709"/>
        <w:tab w:val="left" w:pos="432" w:leader="none"/>
      </w:tabs>
      <w:spacing w:before="120" w:after="160"/>
      <w:ind w:left="432" w:hanging="432"/>
      <w:jc w:val="both"/>
    </w:pPr>
    <w:rPr>
      <w:b/>
      <w:bCs/>
      <w:caps/>
      <w:sz w:val="32"/>
      <w:szCs w:val="32"/>
      <w:lang w:val="en-US" w:eastAsia="en-US"/>
    </w:rPr>
  </w:style>
  <w:style w:type="paragraph" w:styleId="Style92" w:customStyle="1">
    <w:name w:val="ААПереч"/>
    <w:basedOn w:val="A1"/>
    <w:link w:val="affff7"/>
    <w:qFormat/>
    <w:rsid w:val="004145d1"/>
    <w:pPr>
      <w:tabs>
        <w:tab w:val="clear" w:pos="709"/>
        <w:tab w:val="left" w:pos="1134" w:leader="none"/>
      </w:tabs>
      <w:ind w:left="0" w:firstLine="567"/>
    </w:pPr>
    <w:rPr/>
  </w:style>
  <w:style w:type="paragraph" w:styleId="Style93" w:customStyle="1">
    <w:name w:val="Абзац"/>
    <w:link w:val="affffa"/>
    <w:qFormat/>
    <w:rsid w:val="00a45a27"/>
    <w:pPr>
      <w:widowControl/>
      <w:bidi w:val="0"/>
      <w:spacing w:lineRule="auto" w:line="240" w:before="120" w:after="60"/>
      <w:ind w:firstLine="567"/>
      <w:jc w:val="both"/>
    </w:pPr>
    <w:rPr>
      <w:rFonts w:ascii="Times New Roman" w:hAnsi="Times New Roman" w:eastAsia="Times New Roman" w:cs="Times New Roman"/>
      <w:color w:val="auto"/>
      <w:kern w:val="0"/>
      <w:sz w:val="24"/>
      <w:szCs w:val="24"/>
      <w:lang w:val="ru-RU" w:eastAsia="ru-RU" w:bidi="ar-SA"/>
    </w:rPr>
  </w:style>
  <w:style w:type="paragraph" w:styleId="ConsPlusNonformat" w:customStyle="1">
    <w:name w:val="ConsPlusNonformat"/>
    <w:qFormat/>
    <w:rsid w:val="00a45a27"/>
    <w:pPr>
      <w:widowControl w:val="false"/>
      <w:bidi w:val="0"/>
      <w:spacing w:lineRule="auto" w:line="240" w:before="240" w:after="120"/>
      <w:jc w:val="right"/>
    </w:pPr>
    <w:rPr>
      <w:rFonts w:ascii="Courier New" w:hAnsi="Courier New" w:eastAsia="Times New Roman" w:cs="Courier New"/>
      <w:color w:val="auto"/>
      <w:kern w:val="0"/>
      <w:sz w:val="20"/>
      <w:szCs w:val="20"/>
      <w:lang w:val="ru-RU" w:eastAsia="ru-RU" w:bidi="ar-SA"/>
    </w:rPr>
  </w:style>
  <w:style w:type="paragraph" w:styleId="BodyTextIndent2">
    <w:name w:val="Body Text Indent 2"/>
    <w:basedOn w:val="Normal"/>
    <w:link w:val="2f3"/>
    <w:qFormat/>
    <w:rsid w:val="00a45a27"/>
    <w:pPr>
      <w:spacing w:before="240" w:after="120"/>
      <w:ind w:firstLine="709"/>
      <w:jc w:val="both"/>
    </w:pPr>
    <w:rPr/>
  </w:style>
  <w:style w:type="paragraph" w:styleId="PzOglav" w:customStyle="1">
    <w:name w:val="PzOglav"/>
    <w:basedOn w:val="Normal"/>
    <w:qFormat/>
    <w:rsid w:val="00a45a27"/>
    <w:pPr>
      <w:tabs>
        <w:tab w:val="clear" w:pos="709"/>
        <w:tab w:val="left" w:pos="8505" w:leader="dot"/>
      </w:tabs>
      <w:spacing w:before="240" w:after="120"/>
      <w:ind w:firstLine="567"/>
      <w:jc w:val="both"/>
    </w:pPr>
    <w:rPr>
      <w:rFonts w:ascii="Arial" w:hAnsi="Arial" w:cs="Arial"/>
      <w:sz w:val="20"/>
      <w:szCs w:val="20"/>
      <w:lang w:eastAsia="en-US"/>
    </w:rPr>
  </w:style>
  <w:style w:type="paragraph" w:styleId="Xl60" w:customStyle="1">
    <w:name w:val="xl60"/>
    <w:basedOn w:val="Normal"/>
    <w:qFormat/>
    <w:rsid w:val="00a45a27"/>
    <w:pPr>
      <w:spacing w:beforeAutospacing="1" w:afterAutospacing="1"/>
    </w:pPr>
    <w:rPr/>
  </w:style>
  <w:style w:type="paragraph" w:styleId="Xl61" w:customStyle="1">
    <w:name w:val="xl61"/>
    <w:basedOn w:val="Normal"/>
    <w:qFormat/>
    <w:rsid w:val="00a45a27"/>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styleId="Xl62" w:customStyle="1">
    <w:name w:val="xl62"/>
    <w:basedOn w:val="Normal"/>
    <w:qFormat/>
    <w:rsid w:val="00a45a27"/>
    <w:pPr>
      <w:pBdr>
        <w:top w:val="single" w:sz="4" w:space="0" w:color="000000"/>
        <w:left w:val="single" w:sz="4" w:space="0" w:color="000000"/>
        <w:bottom w:val="single" w:sz="4" w:space="0" w:color="000000"/>
        <w:right w:val="single" w:sz="4" w:space="0" w:color="000000"/>
      </w:pBdr>
      <w:spacing w:beforeAutospacing="1" w:afterAutospacing="1"/>
    </w:pPr>
    <w:rPr>
      <w:sz w:val="20"/>
      <w:szCs w:val="20"/>
    </w:rPr>
  </w:style>
  <w:style w:type="paragraph" w:styleId="1410" w:customStyle="1">
    <w:name w:val="Обычный + 14 пт"/>
    <w:basedOn w:val="Normal"/>
    <w:qFormat/>
    <w:rsid w:val="00a45a27"/>
    <w:pPr>
      <w:ind w:right="-10" w:firstLine="708"/>
      <w:jc w:val="both"/>
    </w:pPr>
    <w:rPr>
      <w:sz w:val="28"/>
      <w:szCs w:val="28"/>
    </w:rPr>
  </w:style>
  <w:style w:type="paragraph" w:styleId="230" w:customStyle="1">
    <w:name w:val="Заголовок №2"/>
    <w:basedOn w:val="Normal"/>
    <w:link w:val="2f4"/>
    <w:qFormat/>
    <w:rsid w:val="00a45a27"/>
    <w:pPr>
      <w:widowControl w:val="false"/>
      <w:shd w:val="clear" w:color="auto" w:fill="FFFFFF"/>
      <w:spacing w:lineRule="exact" w:line="322" w:before="180" w:after="0"/>
      <w:jc w:val="both"/>
      <w:outlineLvl w:val="1"/>
    </w:pPr>
    <w:rPr>
      <w:sz w:val="27"/>
      <w:szCs w:val="27"/>
      <w:lang w:eastAsia="en-US"/>
    </w:rPr>
  </w:style>
  <w:style w:type="paragraph" w:styleId="Style94" w:customStyle="1">
    <w:name w:val="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BodyText21" w:customStyle="1">
    <w:name w:val="Body Text 21"/>
    <w:basedOn w:val="Normal"/>
    <w:qFormat/>
    <w:rsid w:val="00a45a27"/>
    <w:pPr>
      <w:jc w:val="both"/>
    </w:pPr>
    <w:rPr>
      <w:sz w:val="28"/>
      <w:szCs w:val="20"/>
    </w:rPr>
  </w:style>
  <w:style w:type="paragraph" w:styleId="ConsNonformat" w:customStyle="1">
    <w:name w:val="ConsNonformat"/>
    <w:qFormat/>
    <w:rsid w:val="00a45a27"/>
    <w:pPr>
      <w:widowControl w:val="false"/>
      <w:bidi w:val="0"/>
      <w:spacing w:lineRule="auto" w:line="240" w:before="0" w:after="0"/>
      <w:ind w:right="19772" w:hanging="0"/>
      <w:jc w:val="left"/>
    </w:pPr>
    <w:rPr>
      <w:rFonts w:ascii="Courier New" w:hAnsi="Courier New" w:eastAsia="Times New Roman" w:cs="Courier New"/>
      <w:color w:val="auto"/>
      <w:kern w:val="0"/>
      <w:sz w:val="20"/>
      <w:szCs w:val="20"/>
      <w:lang w:val="ru-RU" w:eastAsia="ru-RU" w:bidi="ar-SA"/>
    </w:rPr>
  </w:style>
  <w:style w:type="paragraph" w:styleId="ListBullet3">
    <w:name w:val="List Bullet 3"/>
    <w:basedOn w:val="Normal"/>
    <w:qFormat/>
    <w:rsid w:val="00a45a27"/>
    <w:pPr>
      <w:ind w:left="566" w:hanging="283"/>
    </w:pPr>
    <w:rPr>
      <w:szCs w:val="20"/>
    </w:rPr>
  </w:style>
  <w:style w:type="paragraph" w:styleId="ListContinue2">
    <w:name w:val="List Continue 2"/>
    <w:basedOn w:val="Normal"/>
    <w:qFormat/>
    <w:rsid w:val="00a45a27"/>
    <w:pPr>
      <w:spacing w:before="0" w:after="120"/>
      <w:ind w:left="566" w:hanging="0"/>
    </w:pPr>
    <w:rPr>
      <w:szCs w:val="20"/>
    </w:rPr>
  </w:style>
  <w:style w:type="paragraph" w:styleId="NormalIndent">
    <w:name w:val="Normal Indent"/>
    <w:basedOn w:val="Normal"/>
    <w:qFormat/>
    <w:rsid w:val="00a45a27"/>
    <w:pPr>
      <w:ind w:left="708" w:hanging="0"/>
    </w:pPr>
    <w:rPr>
      <w:szCs w:val="20"/>
    </w:rPr>
  </w:style>
  <w:style w:type="paragraph" w:styleId="BodyText22" w:customStyle="1">
    <w:name w:val="Body Text 22"/>
    <w:basedOn w:val="Normal"/>
    <w:qFormat/>
    <w:rsid w:val="00a45a27"/>
    <w:pPr>
      <w:ind w:firstLine="720"/>
      <w:jc w:val="both"/>
    </w:pPr>
    <w:rPr>
      <w:sz w:val="20"/>
      <w:szCs w:val="20"/>
    </w:rPr>
  </w:style>
  <w:style w:type="paragraph" w:styleId="Style95" w:customStyle="1">
    <w:name w:val="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96"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97"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98" w:customStyle="1">
    <w:name w:val="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99" w:customStyle="1">
    <w:name w:val="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0" w:customStyle="1">
    <w:name w:val="Знак Знак Знак Знак Знак Знак Знак1"/>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1" w:customStyle="1">
    <w:name w:val="Знак Знак1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2" w:customStyle="1">
    <w:name w:val="Знак Знак Знак Знак Знак Знак Знак Знак Знак Знак Знак Знак Знак Знак Знак Знак Знак Знак1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47" w:customStyle="1">
    <w:name w:val="заголовок 4"/>
    <w:basedOn w:val="Normal"/>
    <w:next w:val="Normal"/>
    <w:qFormat/>
    <w:rsid w:val="00a45a27"/>
    <w:pPr>
      <w:keepNext w:val="true"/>
      <w:widowControl w:val="false"/>
      <w:jc w:val="both"/>
    </w:pPr>
    <w:rPr>
      <w:sz w:val="28"/>
      <w:szCs w:val="20"/>
    </w:rPr>
  </w:style>
  <w:style w:type="paragraph" w:styleId="Index1">
    <w:name w:val="index 1"/>
    <w:basedOn w:val="Normal"/>
    <w:next w:val="Normal"/>
    <w:semiHidden/>
    <w:qFormat/>
    <w:rsid w:val="00a45a27"/>
    <w:pPr>
      <w:tabs>
        <w:tab w:val="clear" w:pos="709"/>
        <w:tab w:val="right" w:pos="4487" w:leader="none"/>
      </w:tabs>
      <w:ind w:left="200" w:hanging="200"/>
    </w:pPr>
    <w:rPr>
      <w:sz w:val="18"/>
      <w:szCs w:val="20"/>
    </w:rPr>
  </w:style>
  <w:style w:type="paragraph" w:styleId="Index2">
    <w:name w:val="index 2"/>
    <w:basedOn w:val="Normal"/>
    <w:next w:val="Normal"/>
    <w:semiHidden/>
    <w:qFormat/>
    <w:rsid w:val="00a45a27"/>
    <w:pPr>
      <w:tabs>
        <w:tab w:val="clear" w:pos="709"/>
        <w:tab w:val="right" w:pos="4487" w:leader="none"/>
      </w:tabs>
      <w:ind w:left="400" w:hanging="200"/>
    </w:pPr>
    <w:rPr>
      <w:sz w:val="18"/>
      <w:szCs w:val="20"/>
    </w:rPr>
  </w:style>
  <w:style w:type="paragraph" w:styleId="Index3">
    <w:name w:val="index 3"/>
    <w:basedOn w:val="Normal"/>
    <w:next w:val="Normal"/>
    <w:semiHidden/>
    <w:qFormat/>
    <w:rsid w:val="00a45a27"/>
    <w:pPr>
      <w:tabs>
        <w:tab w:val="clear" w:pos="709"/>
        <w:tab w:val="right" w:pos="4487" w:leader="none"/>
      </w:tabs>
      <w:ind w:left="600" w:hanging="200"/>
    </w:pPr>
    <w:rPr>
      <w:sz w:val="18"/>
      <w:szCs w:val="20"/>
    </w:rPr>
  </w:style>
  <w:style w:type="paragraph" w:styleId="Index4">
    <w:name w:val="index 4"/>
    <w:basedOn w:val="Normal"/>
    <w:next w:val="Normal"/>
    <w:semiHidden/>
    <w:qFormat/>
    <w:rsid w:val="00a45a27"/>
    <w:pPr>
      <w:tabs>
        <w:tab w:val="clear" w:pos="709"/>
        <w:tab w:val="right" w:pos="4487" w:leader="none"/>
      </w:tabs>
      <w:ind w:left="800" w:hanging="200"/>
    </w:pPr>
    <w:rPr>
      <w:sz w:val="18"/>
      <w:szCs w:val="20"/>
    </w:rPr>
  </w:style>
  <w:style w:type="paragraph" w:styleId="Index5">
    <w:name w:val="index 5"/>
    <w:basedOn w:val="Normal"/>
    <w:next w:val="Normal"/>
    <w:semiHidden/>
    <w:qFormat/>
    <w:rsid w:val="00a45a27"/>
    <w:pPr>
      <w:tabs>
        <w:tab w:val="clear" w:pos="709"/>
        <w:tab w:val="right" w:pos="4487" w:leader="none"/>
      </w:tabs>
      <w:ind w:left="1000" w:hanging="200"/>
    </w:pPr>
    <w:rPr>
      <w:sz w:val="18"/>
      <w:szCs w:val="20"/>
    </w:rPr>
  </w:style>
  <w:style w:type="paragraph" w:styleId="Index6">
    <w:name w:val="index 6"/>
    <w:basedOn w:val="Normal"/>
    <w:next w:val="Normal"/>
    <w:semiHidden/>
    <w:qFormat/>
    <w:rsid w:val="00a45a27"/>
    <w:pPr>
      <w:tabs>
        <w:tab w:val="clear" w:pos="709"/>
        <w:tab w:val="right" w:pos="4487" w:leader="none"/>
      </w:tabs>
      <w:ind w:left="1200" w:hanging="200"/>
    </w:pPr>
    <w:rPr>
      <w:sz w:val="18"/>
      <w:szCs w:val="20"/>
    </w:rPr>
  </w:style>
  <w:style w:type="paragraph" w:styleId="Index7">
    <w:name w:val="index 7"/>
    <w:basedOn w:val="Normal"/>
    <w:next w:val="Normal"/>
    <w:semiHidden/>
    <w:qFormat/>
    <w:rsid w:val="00a45a27"/>
    <w:pPr>
      <w:tabs>
        <w:tab w:val="clear" w:pos="709"/>
        <w:tab w:val="right" w:pos="4487" w:leader="none"/>
      </w:tabs>
      <w:ind w:left="1400" w:hanging="200"/>
    </w:pPr>
    <w:rPr>
      <w:sz w:val="18"/>
      <w:szCs w:val="20"/>
    </w:rPr>
  </w:style>
  <w:style w:type="paragraph" w:styleId="Index8">
    <w:name w:val="index 8"/>
    <w:basedOn w:val="Normal"/>
    <w:next w:val="Normal"/>
    <w:semiHidden/>
    <w:qFormat/>
    <w:rsid w:val="00a45a27"/>
    <w:pPr>
      <w:tabs>
        <w:tab w:val="clear" w:pos="709"/>
        <w:tab w:val="right" w:pos="4487" w:leader="none"/>
      </w:tabs>
      <w:ind w:left="1600" w:hanging="200"/>
    </w:pPr>
    <w:rPr>
      <w:sz w:val="18"/>
      <w:szCs w:val="20"/>
    </w:rPr>
  </w:style>
  <w:style w:type="paragraph" w:styleId="Index9">
    <w:name w:val="index 9"/>
    <w:basedOn w:val="Normal"/>
    <w:next w:val="Normal"/>
    <w:semiHidden/>
    <w:qFormat/>
    <w:rsid w:val="00a45a27"/>
    <w:pPr>
      <w:tabs>
        <w:tab w:val="clear" w:pos="709"/>
        <w:tab w:val="right" w:pos="4487" w:leader="none"/>
      </w:tabs>
      <w:ind w:left="1800" w:hanging="200"/>
    </w:pPr>
    <w:rPr>
      <w:sz w:val="18"/>
      <w:szCs w:val="20"/>
    </w:rPr>
  </w:style>
  <w:style w:type="paragraph" w:styleId="Indexheading">
    <w:name w:val="index heading"/>
    <w:basedOn w:val="Normal"/>
    <w:next w:val="Index1"/>
    <w:semiHidden/>
    <w:qFormat/>
    <w:rsid w:val="00a45a27"/>
    <w:pPr>
      <w:spacing w:before="240" w:after="120"/>
      <w:jc w:val="center"/>
    </w:pPr>
    <w:rPr>
      <w:b/>
      <w:sz w:val="26"/>
      <w:szCs w:val="20"/>
    </w:rPr>
  </w:style>
  <w:style w:type="paragraph" w:styleId="153" w:customStyle="1">
    <w:name w:val="Знак Знак Знак Знак Знак Знак Знак Знак Знак Знак Знак Знак Знак Знак Знак Знак Знак Знак1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0" w:customStyle="1">
    <w:name w:val="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4" w:customStyle="1">
    <w:name w:val="Знак Знак1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5" w:customStyle="1">
    <w:name w:val="Знак Знак1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1"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2" w:customStyle="1">
    <w:name w:val="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3" w:customStyle="1">
    <w:name w:val="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4" w:customStyle="1">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5"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6" w:customStyle="1">
    <w:name w:val="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6" w:customStyle="1">
    <w:name w:val="Знак Знак1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7"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widowControl w:val="false"/>
      <w:tabs>
        <w:tab w:val="clear" w:pos="709"/>
        <w:tab w:val="left" w:pos="432" w:leader="none"/>
      </w:tabs>
      <w:spacing w:lineRule="atLeast" w:line="360" w:before="120" w:after="160"/>
      <w:ind w:left="432" w:hanging="432"/>
      <w:jc w:val="both"/>
      <w:textAlignment w:val="baseline"/>
    </w:pPr>
    <w:rPr>
      <w:b/>
      <w:bCs/>
      <w:caps/>
      <w:sz w:val="32"/>
      <w:szCs w:val="32"/>
      <w:lang w:val="en-US" w:eastAsia="en-US"/>
    </w:rPr>
  </w:style>
  <w:style w:type="paragraph" w:styleId="Style108"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09"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7" w:customStyle="1">
    <w:name w:val="Знак Знак1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8" w:customStyle="1">
    <w:name w:val="Знак Знак1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Style110" w:customStyle="1">
    <w:name w:val="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59" w:customStyle="1">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60" w:customStyle="1">
    <w:name w:val="Знак Знак1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119" w:customStyle="1">
    <w:name w:val="Знак Знак1 Знак1"/>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61" w:customStyle="1">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1120" w:customStyle="1">
    <w:name w:val="Знак Знак1 Знак Знак Знак Знак Знак Знак Знак Знак Знак1 Знак Знак Знак Знак Знак Знак Знак"/>
    <w:basedOn w:val="Normal"/>
    <w:qFormat/>
    <w:rsid w:val="00a45a27"/>
    <w:pPr>
      <w:tabs>
        <w:tab w:val="clear" w:pos="709"/>
        <w:tab w:val="left" w:pos="432" w:leader="none"/>
      </w:tabs>
      <w:spacing w:before="120" w:after="160"/>
      <w:ind w:left="432" w:hanging="432"/>
      <w:jc w:val="both"/>
    </w:pPr>
    <w:rPr>
      <w:b/>
      <w:bCs/>
      <w:caps/>
      <w:sz w:val="32"/>
      <w:szCs w:val="32"/>
      <w:lang w:val="en-US" w:eastAsia="en-US"/>
    </w:rPr>
  </w:style>
  <w:style w:type="paragraph" w:styleId="231" w:customStyle="1">
    <w:name w:val="Обычный2"/>
    <w:qFormat/>
    <w:rsid w:val="00a45a27"/>
    <w:pPr>
      <w:widowControl w:val="false"/>
      <w:bidi w:val="0"/>
      <w:snapToGrid w:val="false"/>
      <w:spacing w:lineRule="auto" w:line="300" w:before="240" w:after="0"/>
      <w:ind w:firstLine="700"/>
      <w:jc w:val="both"/>
    </w:pPr>
    <w:rPr>
      <w:rFonts w:ascii="Times New Roman" w:hAnsi="Times New Roman" w:eastAsia="Times New Roman" w:cs="Times New Roman"/>
      <w:color w:val="auto"/>
      <w:kern w:val="0"/>
      <w:sz w:val="24"/>
      <w:szCs w:val="20"/>
      <w:lang w:val="ru-RU" w:eastAsia="ru-RU" w:bidi="ar-SA"/>
    </w:rPr>
  </w:style>
  <w:style w:type="paragraph" w:styleId="232" w:customStyle="1">
    <w:name w:val="ААЗаг2"/>
    <w:basedOn w:val="2"/>
    <w:link w:val="2fb"/>
    <w:qFormat/>
    <w:rsid w:val="00184b63"/>
    <w:pPr>
      <w:keepLines w:val="false"/>
      <w:spacing w:lineRule="auto" w:line="240" w:before="240" w:after="360"/>
      <w:ind w:hanging="0"/>
      <w:jc w:val="center"/>
    </w:pPr>
    <w:rPr>
      <w:rFonts w:eastAsia="Times New Roman" w:cs="Arial"/>
      <w:bCs w:val="false"/>
      <w:i/>
      <w:iCs/>
      <w:sz w:val="28"/>
      <w:szCs w:val="28"/>
      <w:lang w:eastAsia="ru-RU"/>
    </w:rPr>
  </w:style>
  <w:style w:type="paragraph" w:styleId="NoSpacing">
    <w:name w:val="No Spacing"/>
    <w:qFormat/>
    <w:rsid w:val="00d70dca"/>
    <w:pPr>
      <w:widowControl/>
      <w:bidi w:val="0"/>
      <w:spacing w:lineRule="auto" w:line="240" w:before="0" w:after="0"/>
      <w:jc w:val="left"/>
    </w:pPr>
    <w:rPr>
      <w:rFonts w:ascii="Calibri" w:hAnsi="Calibri" w:eastAsia="Times New Roman" w:cs="Times New Roman" w:asciiTheme="minorHAnsi" w:hAnsiTheme="minorHAnsi"/>
      <w:color w:val="auto"/>
      <w:kern w:val="0"/>
      <w:sz w:val="24"/>
      <w:szCs w:val="22"/>
      <w:lang w:val="ru-RU" w:eastAsia="ru-RU" w:bidi="ar-SA"/>
    </w:rPr>
  </w:style>
  <w:style w:type="paragraph" w:styleId="BodyText2">
    <w:name w:val="Body Text 2"/>
    <w:basedOn w:val="Normal"/>
    <w:link w:val="2fd"/>
    <w:unhideWhenUsed/>
    <w:qFormat/>
    <w:rsid w:val="00151824"/>
    <w:pPr>
      <w:spacing w:lineRule="auto" w:line="480" w:before="0" w:after="120"/>
    </w:pPr>
    <w:rPr/>
  </w:style>
  <w:style w:type="paragraph" w:styleId="BodyText3">
    <w:name w:val="Body Text 3"/>
    <w:basedOn w:val="Normal"/>
    <w:link w:val="3b"/>
    <w:unhideWhenUsed/>
    <w:qFormat/>
    <w:rsid w:val="00151824"/>
    <w:pPr>
      <w:spacing w:lineRule="auto" w:line="276" w:before="0" w:after="120"/>
    </w:pPr>
    <w:rPr>
      <w:rFonts w:eastAsia="Calibri"/>
      <w:sz w:val="16"/>
      <w:szCs w:val="16"/>
      <w:lang w:eastAsia="en-US"/>
    </w:rPr>
  </w:style>
  <w:style w:type="paragraph" w:styleId="Standard" w:customStyle="1">
    <w:name w:val="Standard"/>
    <w:qFormat/>
    <w:rsid w:val="00bb1c17"/>
    <w:pPr>
      <w:widowControl w:val="false"/>
      <w:suppressAutoHyphens w:val="true"/>
      <w:bidi w:val="0"/>
      <w:spacing w:lineRule="auto" w:line="240" w:before="0" w:after="0"/>
      <w:jc w:val="left"/>
      <w:textAlignment w:val="baseline"/>
    </w:pPr>
    <w:rPr>
      <w:rFonts w:ascii="Times New Roman" w:hAnsi="Times New Roman" w:eastAsia="Andale Sans UI" w:cs="Tahoma"/>
      <w:color w:val="auto"/>
      <w:kern w:val="2"/>
      <w:sz w:val="24"/>
      <w:szCs w:val="24"/>
      <w:lang w:val="de-DE" w:eastAsia="ja-JP" w:bidi="fa-IR"/>
    </w:rPr>
  </w:style>
  <w:style w:type="paragraph" w:styleId="Style111" w:customStyle="1">
    <w:name w:val="Для таблицы"/>
    <w:basedOn w:val="Normal"/>
    <w:link w:val="affffff0"/>
    <w:qFormat/>
    <w:rsid w:val="00cf7a62"/>
    <w:pPr>
      <w:spacing w:lineRule="auto" w:line="276"/>
      <w:jc w:val="both"/>
    </w:pPr>
    <w:rPr>
      <w:rFonts w:ascii="Calibri" w:hAnsi="Calibri" w:eastAsia="Calibri"/>
      <w:szCs w:val="22"/>
      <w:lang w:eastAsia="en-US"/>
    </w:rPr>
  </w:style>
  <w:style w:type="paragraph" w:styleId="Style112" w:customStyle="1">
    <w:name w:val="АОбычный"/>
    <w:basedOn w:val="Normal"/>
    <w:link w:val="affffff1"/>
    <w:qFormat/>
    <w:rsid w:val="00574ffd"/>
    <w:pPr>
      <w:spacing w:lineRule="auto" w:line="360"/>
      <w:ind w:firstLine="567"/>
      <w:jc w:val="both"/>
    </w:pPr>
    <w:rPr>
      <w:rFonts w:eastAsia="Calibri" w:eastAsiaTheme="minorHAnsi"/>
      <w:lang w:eastAsia="en-US"/>
    </w:rPr>
  </w:style>
  <w:style w:type="paragraph" w:styleId="Style113" w:customStyle="1">
    <w:name w:val="АТаблица"/>
    <w:basedOn w:val="Normal"/>
    <w:link w:val="affffff3"/>
    <w:qFormat/>
    <w:rsid w:val="00574ffd"/>
    <w:pPr>
      <w:spacing w:before="120" w:after="0"/>
      <w:ind w:firstLine="567"/>
      <w:jc w:val="right"/>
    </w:pPr>
    <w:rPr>
      <w:rFonts w:eastAsia="Calibri" w:eastAsiaTheme="minorHAnsi"/>
      <w:i/>
      <w:sz w:val="20"/>
      <w:szCs w:val="20"/>
      <w:lang w:eastAsia="en-US"/>
    </w:rPr>
  </w:style>
  <w:style w:type="paragraph" w:styleId="Style114" w:customStyle="1">
    <w:name w:val="АСодержТаб"/>
    <w:basedOn w:val="Normal"/>
    <w:link w:val="affffff5"/>
    <w:uiPriority w:val="1"/>
    <w:qFormat/>
    <w:rsid w:val="00574ffd"/>
    <w:pPr>
      <w:widowControl w:val="false"/>
      <w:jc w:val="center"/>
    </w:pPr>
    <w:rPr>
      <w:rFonts w:eastAsia="Calibri" w:eastAsiaTheme="minorHAnsi"/>
      <w:spacing w:val="-1"/>
      <w:sz w:val="20"/>
      <w:szCs w:val="20"/>
      <w:lang w:eastAsia="en-US"/>
    </w:rPr>
  </w:style>
  <w:style w:type="paragraph" w:styleId="G1" w:customStyle="1">
    <w:name w:val="G_Маркированый список"/>
    <w:basedOn w:val="Normal"/>
    <w:link w:val="G0"/>
    <w:qFormat/>
    <w:rsid w:val="009b1486"/>
    <w:pPr>
      <w:tabs>
        <w:tab w:val="clear" w:pos="709"/>
        <w:tab w:val="left" w:pos="993" w:leader="none"/>
      </w:tabs>
      <w:spacing w:lineRule="auto" w:line="276"/>
      <w:ind w:left="0" w:firstLine="709"/>
      <w:jc w:val="both"/>
    </w:pPr>
    <w:rPr>
      <w:rFonts w:ascii="Calibri" w:hAnsi="Calibri"/>
      <w:lang w:eastAsia="en-US" w:bidi="en-US"/>
    </w:rPr>
  </w:style>
  <w:style w:type="paragraph" w:styleId="Style115" w:customStyle="1">
    <w:name w:val="АСодТаб"/>
    <w:basedOn w:val="Normal"/>
    <w:link w:val="affffff8"/>
    <w:uiPriority w:val="1"/>
    <w:qFormat/>
    <w:rsid w:val="00d2295b"/>
    <w:pPr>
      <w:widowControl w:val="false"/>
      <w:jc w:val="center"/>
    </w:pPr>
    <w:rPr>
      <w:rFonts w:eastAsia="Calibri" w:cs="" w:cstheme="minorBidi" w:eastAsiaTheme="minorHAnsi"/>
      <w:spacing w:val="-1"/>
      <w:sz w:val="20"/>
      <w:szCs w:val="22"/>
      <w:lang w:eastAsia="en-US"/>
    </w:rPr>
  </w:style>
  <w:style w:type="paragraph" w:styleId="Style116" w:customStyle="1">
    <w:name w:val="ААОбыч"/>
    <w:basedOn w:val="Style66"/>
    <w:link w:val="affffffa"/>
    <w:uiPriority w:val="1"/>
    <w:qFormat/>
    <w:rsid w:val="004717a5"/>
    <w:pPr>
      <w:widowControl w:val="false"/>
      <w:suppressAutoHyphens w:val="false"/>
      <w:spacing w:lineRule="auto" w:line="360" w:before="0" w:after="0"/>
      <w:ind w:firstLine="567"/>
      <w:jc w:val="both"/>
    </w:pPr>
    <w:rPr>
      <w:rFonts w:ascii="Times New Roman" w:hAnsi="Times New Roman"/>
      <w:sz w:val="24"/>
      <w:szCs w:val="24"/>
    </w:rPr>
  </w:style>
  <w:style w:type="paragraph" w:styleId="DocumentMap">
    <w:name w:val="Document Map"/>
    <w:basedOn w:val="Normal"/>
    <w:link w:val="affffffc"/>
    <w:uiPriority w:val="99"/>
    <w:semiHidden/>
    <w:unhideWhenUsed/>
    <w:qFormat/>
    <w:rsid w:val="00835ade"/>
    <w:pPr/>
    <w:rPr>
      <w:rFonts w:ascii="Tahoma" w:hAnsi="Tahoma" w:cs="Tahoma"/>
      <w:sz w:val="16"/>
      <w:szCs w:val="16"/>
    </w:rPr>
  </w:style>
  <w:style w:type="paragraph" w:styleId="Style117" w:customStyle="1">
    <w:name w:val="Заголовок документа"/>
    <w:basedOn w:val="Normal"/>
    <w:link w:val="affffffe"/>
    <w:qFormat/>
    <w:rsid w:val="00835ade"/>
    <w:pPr>
      <w:spacing w:lineRule="auto" w:line="360"/>
      <w:jc w:val="center"/>
    </w:pPr>
    <w:rPr>
      <w:rFonts w:eastAsia="Calibri" w:eastAsiaTheme="minorHAnsi"/>
      <w:b/>
      <w:sz w:val="28"/>
      <w:szCs w:val="28"/>
      <w:lang w:eastAsia="en-US"/>
    </w:rPr>
  </w:style>
  <w:style w:type="paragraph" w:styleId="162" w:customStyle="1">
    <w:name w:val="ААУр1"/>
    <w:basedOn w:val="1"/>
    <w:link w:val="1fff1"/>
    <w:uiPriority w:val="1"/>
    <w:qFormat/>
    <w:rsid w:val="00835ade"/>
    <w:pPr>
      <w:keepNext w:val="false"/>
      <w:widowControl w:val="false"/>
      <w:spacing w:lineRule="auto" w:line="360" w:before="120" w:after="240"/>
      <w:jc w:val="center"/>
    </w:pPr>
    <w:rPr>
      <w:rFonts w:ascii="Times New Roman" w:hAnsi="Times New Roman"/>
      <w:spacing w:val="-1"/>
      <w:kern w:val="2"/>
      <w:sz w:val="28"/>
      <w:szCs w:val="28"/>
    </w:rPr>
  </w:style>
  <w:style w:type="paragraph" w:styleId="Style118" w:customStyle="1">
    <w:name w:val="ААРис"/>
    <w:basedOn w:val="Normal"/>
    <w:link w:val="afffffff0"/>
    <w:uiPriority w:val="1"/>
    <w:qFormat/>
    <w:rsid w:val="00835ade"/>
    <w:pPr>
      <w:widowControl w:val="false"/>
      <w:spacing w:before="0" w:after="120"/>
      <w:jc w:val="center"/>
    </w:pPr>
    <w:rPr>
      <w:rFonts w:eastAsia="Calibri" w:cs="" w:cstheme="minorBidi" w:eastAsiaTheme="minorHAnsi"/>
      <w:i/>
      <w:sz w:val="20"/>
      <w:szCs w:val="22"/>
      <w:lang w:eastAsia="en-US"/>
    </w:rPr>
  </w:style>
  <w:style w:type="paragraph" w:styleId="Style119" w:customStyle="1">
    <w:name w:val="ААТабл"/>
    <w:basedOn w:val="Normal"/>
    <w:link w:val="afffffff2"/>
    <w:uiPriority w:val="1"/>
    <w:qFormat/>
    <w:rsid w:val="00792466"/>
    <w:pPr>
      <w:widowControl w:val="false"/>
      <w:spacing w:lineRule="auto" w:line="276"/>
      <w:ind w:right="255" w:hanging="0"/>
      <w:jc w:val="right"/>
    </w:pPr>
    <w:rPr>
      <w:rFonts w:eastAsia="Calibri" w:cs="" w:cstheme="minorBidi" w:eastAsiaTheme="minorHAnsi"/>
      <w:i/>
      <w:spacing w:val="-1"/>
      <w:lang w:eastAsia="en-US"/>
    </w:rPr>
  </w:style>
  <w:style w:type="paragraph" w:styleId="Style120" w:customStyle="1">
    <w:name w:val="ААСодТаб"/>
    <w:basedOn w:val="Normal"/>
    <w:link w:val="afffffff4"/>
    <w:uiPriority w:val="1"/>
    <w:qFormat/>
    <w:rsid w:val="00835ade"/>
    <w:pPr>
      <w:widowControl w:val="false"/>
      <w:jc w:val="center"/>
    </w:pPr>
    <w:rPr>
      <w:rFonts w:eastAsia="Calibri" w:eastAsiaTheme="minorHAnsi"/>
      <w:spacing w:val="-1"/>
      <w:sz w:val="22"/>
      <w:szCs w:val="22"/>
      <w:lang w:val="en-US" w:eastAsia="en-US"/>
    </w:rPr>
  </w:style>
  <w:style w:type="paragraph" w:styleId="233" w:customStyle="1">
    <w:name w:val="ААУр2"/>
    <w:basedOn w:val="234"/>
    <w:link w:val="2ff0"/>
    <w:uiPriority w:val="1"/>
    <w:qFormat/>
    <w:rsid w:val="00835ade"/>
    <w:pPr>
      <w:ind w:right="0" w:hanging="0"/>
    </w:pPr>
    <w:rPr>
      <w:rFonts w:eastAsia="" w:eastAsiaTheme="majorEastAsia"/>
    </w:rPr>
  </w:style>
  <w:style w:type="paragraph" w:styleId="234" w:customStyle="1">
    <w:name w:val="2 Заголовок"/>
    <w:basedOn w:val="Normal"/>
    <w:link w:val="2ff1"/>
    <w:qFormat/>
    <w:rsid w:val="00835ade"/>
    <w:pPr>
      <w:spacing w:lineRule="auto" w:line="360" w:before="0" w:after="120"/>
      <w:ind w:right="426" w:hanging="0"/>
      <w:jc w:val="center"/>
      <w:outlineLvl w:val="1"/>
    </w:pPr>
    <w:rPr>
      <w:rFonts w:eastAsia="Calibri" w:eastAsiaTheme="minorHAnsi"/>
      <w:b/>
      <w:i/>
      <w:sz w:val="28"/>
      <w:szCs w:val="28"/>
      <w:lang w:eastAsia="en-US"/>
    </w:rPr>
  </w:style>
  <w:style w:type="paragraph" w:styleId="315" w:customStyle="1">
    <w:name w:val="ААУр3"/>
    <w:basedOn w:val="316"/>
    <w:link w:val="3e"/>
    <w:uiPriority w:val="1"/>
    <w:qFormat/>
    <w:rsid w:val="00835ade"/>
    <w:pPr>
      <w:spacing w:lineRule="auto" w:line="360" w:before="0" w:after="120"/>
    </w:pPr>
    <w:rPr>
      <w:rFonts w:eastAsia="Times New Roman"/>
      <w:sz w:val="24"/>
      <w:szCs w:val="24"/>
      <w:lang w:val="en-US" w:bidi="en-US"/>
    </w:rPr>
  </w:style>
  <w:style w:type="paragraph" w:styleId="316" w:customStyle="1">
    <w:name w:val="3 Заголовок"/>
    <w:basedOn w:val="Normal"/>
    <w:link w:val="3f"/>
    <w:uiPriority w:val="1"/>
    <w:qFormat/>
    <w:rsid w:val="00835ade"/>
    <w:pPr>
      <w:widowControl w:val="false"/>
      <w:spacing w:before="120" w:after="240"/>
      <w:ind w:firstLine="567"/>
      <w:jc w:val="both"/>
      <w:outlineLvl w:val="2"/>
    </w:pPr>
    <w:rPr>
      <w:rFonts w:eastAsia="Calibri" w:eastAsiaTheme="minorHAnsi"/>
      <w:b/>
      <w:sz w:val="28"/>
      <w:szCs w:val="28"/>
      <w:lang w:eastAsia="en-US"/>
    </w:rPr>
  </w:style>
  <w:style w:type="paragraph" w:styleId="163" w:customStyle="1">
    <w:name w:val="1 Заголовок"/>
    <w:basedOn w:val="Normal"/>
    <w:link w:val="1fff3"/>
    <w:qFormat/>
    <w:rsid w:val="00835ade"/>
    <w:pPr>
      <w:spacing w:lineRule="auto" w:line="360" w:before="0" w:after="240"/>
      <w:jc w:val="center"/>
      <w:outlineLvl w:val="0"/>
    </w:pPr>
    <w:rPr>
      <w:rFonts w:eastAsia="Calibri" w:eastAsiaTheme="minorHAnsi"/>
      <w:b/>
      <w:sz w:val="28"/>
      <w:szCs w:val="28"/>
      <w:lang w:eastAsia="en-US"/>
    </w:rPr>
  </w:style>
  <w:style w:type="paragraph" w:styleId="Style121" w:customStyle="1">
    <w:name w:val="АПереч"/>
    <w:basedOn w:val="Style112"/>
    <w:link w:val="afffffff5"/>
    <w:uiPriority w:val="1"/>
    <w:qFormat/>
    <w:rsid w:val="007c5f3d"/>
    <w:pPr>
      <w:tabs>
        <w:tab w:val="clear" w:pos="709"/>
        <w:tab w:val="left" w:pos="1134" w:leader="none"/>
      </w:tabs>
      <w:spacing w:lineRule="auto" w:line="300" w:before="120" w:after="120"/>
      <w:ind w:left="1281" w:hanging="357"/>
    </w:pPr>
    <w:rPr/>
  </w:style>
  <w:style w:type="paragraph" w:styleId="Style122" w:customStyle="1">
    <w:name w:val="АРис"/>
    <w:basedOn w:val="Normal"/>
    <w:link w:val="afffffff7"/>
    <w:uiPriority w:val="1"/>
    <w:qFormat/>
    <w:rsid w:val="00835ade"/>
    <w:pPr>
      <w:widowControl w:val="false"/>
      <w:jc w:val="center"/>
    </w:pPr>
    <w:rPr>
      <w:rFonts w:eastAsia="Calibri" w:eastAsiaTheme="minorHAnsi"/>
      <w:i/>
      <w:spacing w:val="-1"/>
      <w:sz w:val="20"/>
      <w:szCs w:val="20"/>
      <w:lang w:eastAsia="en-US"/>
    </w:rPr>
  </w:style>
  <w:style w:type="paragraph" w:styleId="Formattext" w:customStyle="1">
    <w:name w:val="formattext"/>
    <w:basedOn w:val="Normal"/>
    <w:qFormat/>
    <w:rsid w:val="00835ade"/>
    <w:pPr>
      <w:spacing w:beforeAutospacing="1" w:afterAutospacing="1"/>
    </w:pPr>
    <w:rPr/>
  </w:style>
  <w:style w:type="paragraph" w:styleId="Style123" w:customStyle="1">
    <w:name w:val="АСодТабл"/>
    <w:basedOn w:val="Style120"/>
    <w:link w:val="afffffff9"/>
    <w:qFormat/>
    <w:rsid w:val="00f744eb"/>
    <w:pPr/>
    <w:rPr>
      <w:lang w:val="ru-RU"/>
    </w:rPr>
  </w:style>
  <w:style w:type="paragraph" w:styleId="Msonormal" w:customStyle="1">
    <w:name w:val="msonormal"/>
    <w:basedOn w:val="Normal"/>
    <w:qFormat/>
    <w:rsid w:val="00b5257f"/>
    <w:pPr>
      <w:spacing w:beforeAutospacing="1" w:afterAutospacing="1"/>
    </w:pPr>
    <w:rPr/>
  </w:style>
  <w:style w:type="paragraph" w:styleId="Style124" w:customStyle="1">
    <w:name w:val="Таблица_Текст_ЛЕВО"/>
    <w:basedOn w:val="Normal"/>
    <w:uiPriority w:val="99"/>
    <w:qFormat/>
    <w:rsid w:val="00607e32"/>
    <w:pPr>
      <w:ind w:left="28" w:hanging="0"/>
    </w:pPr>
    <w:rPr>
      <w:rFonts w:cs="Courier New"/>
      <w:szCs w:val="20"/>
    </w:rPr>
  </w:style>
  <w:style w:type="paragraph" w:styleId="Style125" w:customStyle="1">
    <w:name w:val="Таблица_Текст_ЦЕНТР"/>
    <w:qFormat/>
    <w:rsid w:val="00612c40"/>
    <w:pPr>
      <w:widowControl/>
      <w:bidi w:val="0"/>
      <w:spacing w:lineRule="auto" w:line="240" w:before="0" w:after="0"/>
      <w:jc w:val="center"/>
    </w:pPr>
    <w:rPr>
      <w:rFonts w:ascii="Times New Roman" w:hAnsi="Times New Roman" w:eastAsia="Times New Roman" w:cs="Courier New"/>
      <w:color w:val="auto"/>
      <w:kern w:val="0"/>
      <w:sz w:val="24"/>
      <w:szCs w:val="20"/>
      <w:lang w:val="ru-RU" w:eastAsia="ru-RU" w:bidi="ar-SA"/>
    </w:rPr>
  </w:style>
  <w:style w:type="paragraph" w:styleId="164" w:customStyle="1">
    <w:name w:val="Знак Знак Знак1"/>
    <w:basedOn w:val="Normal"/>
    <w:qFormat/>
    <w:rsid w:val="004654ec"/>
    <w:pPr>
      <w:tabs>
        <w:tab w:val="clear" w:pos="709"/>
        <w:tab w:val="left" w:pos="432" w:leader="none"/>
      </w:tabs>
      <w:spacing w:before="120" w:after="160"/>
      <w:ind w:left="432" w:hanging="432"/>
      <w:jc w:val="both"/>
    </w:pPr>
    <w:rPr>
      <w:b/>
      <w:bCs/>
      <w:caps/>
      <w:sz w:val="32"/>
      <w:szCs w:val="32"/>
      <w:lang w:val="en-US" w:eastAsia="en-US"/>
    </w:rPr>
  </w:style>
  <w:style w:type="paragraph" w:styleId="Xl256" w:customStyle="1">
    <w:name w:val="xl256"/>
    <w:basedOn w:val="Normal"/>
    <w:qFormat/>
    <w:rsid w:val="006d6aa6"/>
    <w:pPr>
      <w:spacing w:beforeAutospacing="1" w:afterAutospacing="1"/>
    </w:pPr>
    <w:rPr>
      <w:rFonts w:ascii="Arial" w:hAnsi="Arial" w:cs="Arial"/>
    </w:rPr>
  </w:style>
  <w:style w:type="paragraph" w:styleId="Xl257" w:customStyle="1">
    <w:name w:val="xl257"/>
    <w:basedOn w:val="Normal"/>
    <w:qFormat/>
    <w:rsid w:val="006d6aa6"/>
    <w:pPr>
      <w:spacing w:beforeAutospacing="1" w:afterAutospacing="1"/>
      <w:jc w:val="center"/>
    </w:pPr>
    <w:rPr>
      <w:rFonts w:ascii="Arial" w:hAnsi="Arial" w:cs="Arial"/>
    </w:rPr>
  </w:style>
  <w:style w:type="paragraph" w:styleId="Xl258" w:customStyle="1">
    <w:name w:val="xl258"/>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styleId="Xl259" w:customStyle="1">
    <w:name w:val="xl259"/>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styleId="Xl260" w:customStyle="1">
    <w:name w:val="xl260"/>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styleId="Xl261" w:customStyle="1">
    <w:name w:val="xl261"/>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rPr>
  </w:style>
  <w:style w:type="paragraph" w:styleId="Xl262" w:customStyle="1">
    <w:name w:val="xl262"/>
    <w:basedOn w:val="Normal"/>
    <w:qFormat/>
    <w:rsid w:val="006d6aa6"/>
    <w:pPr>
      <w:pBdr>
        <w:top w:val="single" w:sz="4" w:space="0" w:color="000000"/>
        <w:left w:val="single" w:sz="4" w:space="9" w:color="000000"/>
        <w:bottom w:val="single" w:sz="4" w:space="0" w:color="000000"/>
        <w:right w:val="single" w:sz="4" w:space="0" w:color="000000"/>
      </w:pBdr>
      <w:spacing w:beforeAutospacing="1" w:afterAutospacing="1"/>
      <w:ind w:firstLine="100"/>
    </w:pPr>
    <w:rPr>
      <w:rFonts w:ascii="Arial" w:hAnsi="Arial" w:cs="Arial"/>
    </w:rPr>
  </w:style>
  <w:style w:type="paragraph" w:styleId="Xl263" w:customStyle="1">
    <w:name w:val="xl263"/>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rPr>
  </w:style>
  <w:style w:type="paragraph" w:styleId="Xl264" w:customStyle="1">
    <w:name w:val="xl264"/>
    <w:basedOn w:val="Normal"/>
    <w:qFormat/>
    <w:rsid w:val="006d6aa6"/>
    <w:pPr>
      <w:pBdr>
        <w:top w:val="single" w:sz="4" w:space="0" w:color="000000"/>
        <w:left w:val="single" w:sz="4" w:space="27" w:color="000000"/>
        <w:bottom w:val="single" w:sz="4" w:space="0" w:color="000000"/>
        <w:right w:val="single" w:sz="4" w:space="0" w:color="000000"/>
      </w:pBdr>
      <w:spacing w:beforeAutospacing="1" w:afterAutospacing="1"/>
      <w:ind w:firstLine="300"/>
    </w:pPr>
    <w:rPr>
      <w:rFonts w:ascii="Arial" w:hAnsi="Arial" w:cs="Arial"/>
    </w:rPr>
  </w:style>
  <w:style w:type="paragraph" w:styleId="Xl265" w:customStyle="1">
    <w:name w:val="xl265"/>
    <w:basedOn w:val="Normal"/>
    <w:qFormat/>
    <w:rsid w:val="006d6aa6"/>
    <w:pPr>
      <w:spacing w:beforeAutospacing="1" w:afterAutospacing="1"/>
      <w:jc w:val="center"/>
    </w:pPr>
    <w:rPr>
      <w:rFonts w:ascii="Arial" w:hAnsi="Arial" w:cs="Arial"/>
    </w:rPr>
  </w:style>
  <w:style w:type="paragraph" w:styleId="Xl266" w:customStyle="1">
    <w:name w:val="xl266"/>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rPr>
  </w:style>
  <w:style w:type="paragraph" w:styleId="Xl267" w:customStyle="1">
    <w:name w:val="xl267"/>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rPr>
  </w:style>
  <w:style w:type="paragraph" w:styleId="Xl268" w:customStyle="1">
    <w:name w:val="xl268"/>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rPr>
  </w:style>
  <w:style w:type="paragraph" w:styleId="Xl269" w:customStyle="1">
    <w:name w:val="xl269"/>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rPr>
  </w:style>
  <w:style w:type="paragraph" w:styleId="Xl270" w:customStyle="1">
    <w:name w:val="xl270"/>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style>
  <w:style w:type="paragraph" w:styleId="Xl271" w:customStyle="1">
    <w:name w:val="xl271"/>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rPr>
  </w:style>
  <w:style w:type="paragraph" w:styleId="Xl272" w:customStyle="1">
    <w:name w:val="xl272"/>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rPr>
  </w:style>
  <w:style w:type="paragraph" w:styleId="Xl273" w:customStyle="1">
    <w:name w:val="xl273"/>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rPr>
  </w:style>
  <w:style w:type="paragraph" w:styleId="Xl274" w:customStyle="1">
    <w:name w:val="xl274"/>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rPr>
  </w:style>
  <w:style w:type="paragraph" w:styleId="Xl275" w:customStyle="1">
    <w:name w:val="xl275"/>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rPr>
  </w:style>
  <w:style w:type="paragraph" w:styleId="Xl276" w:customStyle="1">
    <w:name w:val="xl276"/>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b/>
      <w:bCs/>
    </w:rPr>
  </w:style>
  <w:style w:type="paragraph" w:styleId="Xl277" w:customStyle="1">
    <w:name w:val="xl277"/>
    <w:basedOn w:val="Normal"/>
    <w:qFormat/>
    <w:rsid w:val="006d6aa6"/>
    <w:pPr>
      <w:spacing w:beforeAutospacing="1" w:afterAutospacing="1"/>
    </w:pPr>
    <w:rPr>
      <w:rFonts w:ascii="Arial" w:hAnsi="Arial" w:cs="Arial"/>
      <w:b/>
      <w:bCs/>
    </w:rPr>
  </w:style>
  <w:style w:type="paragraph" w:styleId="Xl278" w:customStyle="1">
    <w:name w:val="xl278"/>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rPr>
  </w:style>
  <w:style w:type="paragraph" w:styleId="Xl279" w:customStyle="1">
    <w:name w:val="xl279"/>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w:hAnsi="Arial" w:cs="Arial"/>
    </w:rPr>
  </w:style>
  <w:style w:type="paragraph" w:styleId="Xl280" w:customStyle="1">
    <w:name w:val="xl280"/>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rPr>
  </w:style>
  <w:style w:type="paragraph" w:styleId="Xl281" w:customStyle="1">
    <w:name w:val="xl281"/>
    <w:basedOn w:val="Normal"/>
    <w:qFormat/>
    <w:rsid w:val="006d6aa6"/>
    <w:pPr>
      <w:pBdr>
        <w:top w:val="single" w:sz="4" w:space="0" w:color="000000"/>
        <w:left w:val="single" w:sz="4" w:space="9" w:color="000000"/>
        <w:bottom w:val="single" w:sz="4" w:space="0" w:color="000000"/>
        <w:right w:val="single" w:sz="4" w:space="0" w:color="000000"/>
      </w:pBdr>
      <w:spacing w:beforeAutospacing="1" w:afterAutospacing="1"/>
      <w:ind w:firstLine="100"/>
      <w:textAlignment w:val="top"/>
    </w:pPr>
    <w:rPr>
      <w:rFonts w:ascii="Arial" w:hAnsi="Arial" w:cs="Arial"/>
    </w:rPr>
  </w:style>
  <w:style w:type="paragraph" w:styleId="Xl282" w:customStyle="1">
    <w:name w:val="xl282"/>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style>
  <w:style w:type="paragraph" w:styleId="Xl283" w:customStyle="1">
    <w:name w:val="xl283"/>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style>
  <w:style w:type="paragraph" w:styleId="Xl284" w:customStyle="1">
    <w:name w:val="xl284"/>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rPr>
  </w:style>
  <w:style w:type="paragraph" w:styleId="Xl285" w:customStyle="1">
    <w:name w:val="xl285"/>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style>
  <w:style w:type="paragraph" w:styleId="Xl286" w:customStyle="1">
    <w:name w:val="xl286"/>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style>
  <w:style w:type="paragraph" w:styleId="Xl287" w:customStyle="1">
    <w:name w:val="xl287"/>
    <w:basedOn w:val="Normal"/>
    <w:qFormat/>
    <w:rsid w:val="006d6aa6"/>
    <w:pPr>
      <w:spacing w:beforeAutospacing="1" w:afterAutospacing="1"/>
      <w:textAlignment w:val="top"/>
    </w:pPr>
    <w:rPr>
      <w:rFonts w:ascii="Arial" w:hAnsi="Arial" w:cs="Arial"/>
    </w:rPr>
  </w:style>
  <w:style w:type="paragraph" w:styleId="Xl288" w:customStyle="1">
    <w:name w:val="xl288"/>
    <w:basedOn w:val="Normal"/>
    <w:qFormat/>
    <w:rsid w:val="006d6aa6"/>
    <w:pPr>
      <w:spacing w:beforeAutospacing="1" w:afterAutospacing="1"/>
    </w:pPr>
    <w:rPr>
      <w:rFonts w:ascii="Arial" w:hAnsi="Arial" w:cs="Arial"/>
      <w:b/>
      <w:bCs/>
      <w:color w:val="FF0000"/>
    </w:rPr>
  </w:style>
  <w:style w:type="paragraph" w:styleId="Xl289" w:customStyle="1">
    <w:name w:val="xl289"/>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w:hAnsi="Arial" w:cs="Arial"/>
      <w:b/>
      <w:bCs/>
    </w:rPr>
  </w:style>
  <w:style w:type="paragraph" w:styleId="Xl290" w:customStyle="1">
    <w:name w:val="xl290"/>
    <w:basedOn w:val="Normal"/>
    <w:qFormat/>
    <w:rsid w:val="006d6aa6"/>
    <w:pPr>
      <w:pBdr>
        <w:top w:val="single" w:sz="4" w:space="0" w:color="000000"/>
        <w:left w:val="single" w:sz="4" w:space="18" w:color="000000"/>
        <w:bottom w:val="single" w:sz="4" w:space="0" w:color="000000"/>
        <w:right w:val="single" w:sz="4" w:space="0" w:color="000000"/>
      </w:pBdr>
      <w:spacing w:beforeAutospacing="1" w:afterAutospacing="1"/>
      <w:ind w:firstLine="200"/>
      <w:textAlignment w:val="top"/>
    </w:pPr>
    <w:rPr>
      <w:rFonts w:ascii="Arial" w:hAnsi="Arial" w:cs="Arial"/>
    </w:rPr>
  </w:style>
  <w:style w:type="paragraph" w:styleId="Xl291" w:customStyle="1">
    <w:name w:val="xl291"/>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styleId="Xl292" w:customStyle="1">
    <w:name w:val="xl292"/>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styleId="Xl293" w:customStyle="1">
    <w:name w:val="xl293"/>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styleId="Xl294" w:customStyle="1">
    <w:name w:val="xl294"/>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styleId="Xl295" w:customStyle="1">
    <w:name w:val="xl295"/>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rPr>
  </w:style>
  <w:style w:type="paragraph" w:styleId="Xl296" w:customStyle="1">
    <w:name w:val="xl296"/>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b/>
      <w:bCs/>
    </w:rPr>
  </w:style>
  <w:style w:type="paragraph" w:styleId="Xl297" w:customStyle="1">
    <w:name w:val="xl297"/>
    <w:basedOn w:val="Normal"/>
    <w:qFormat/>
    <w:rsid w:val="006d6aa6"/>
    <w:pPr>
      <w:pBdr>
        <w:top w:val="single" w:sz="4" w:space="0" w:color="000000"/>
        <w:left w:val="single" w:sz="4" w:space="9" w:color="000000"/>
        <w:bottom w:val="single" w:sz="4" w:space="0" w:color="000000"/>
        <w:right w:val="single" w:sz="4" w:space="0" w:color="000000"/>
      </w:pBdr>
      <w:spacing w:beforeAutospacing="1" w:afterAutospacing="1"/>
      <w:ind w:firstLine="100"/>
      <w:textAlignment w:val="top"/>
    </w:pPr>
    <w:rPr/>
  </w:style>
  <w:style w:type="paragraph" w:styleId="Xl298" w:customStyle="1">
    <w:name w:val="xl298"/>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style>
  <w:style w:type="paragraph" w:styleId="Xl299" w:customStyle="1">
    <w:name w:val="xl299"/>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b/>
      <w:bCs/>
    </w:rPr>
  </w:style>
  <w:style w:type="paragraph" w:styleId="Xl300" w:customStyle="1">
    <w:name w:val="xl300"/>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rPr>
  </w:style>
  <w:style w:type="paragraph" w:styleId="Xl301" w:customStyle="1">
    <w:name w:val="xl301"/>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rPr>
  </w:style>
  <w:style w:type="paragraph" w:styleId="Xl302" w:customStyle="1">
    <w:name w:val="xl302"/>
    <w:basedOn w:val="Normal"/>
    <w:qFormat/>
    <w:rsid w:val="006d6aa6"/>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rPr>
  </w:style>
  <w:style w:type="paragraph" w:styleId="Xl303" w:customStyle="1">
    <w:name w:val="xl303"/>
    <w:basedOn w:val="Normal"/>
    <w:qFormat/>
    <w:rsid w:val="006d6aa6"/>
    <w:pPr>
      <w:pBdr>
        <w:top w:val="single" w:sz="4" w:space="0" w:color="000000"/>
        <w:left w:val="single" w:sz="4" w:space="18" w:color="000000"/>
        <w:bottom w:val="single" w:sz="4" w:space="0" w:color="000000"/>
        <w:right w:val="single" w:sz="4" w:space="0" w:color="000000"/>
      </w:pBdr>
      <w:spacing w:beforeAutospacing="1" w:afterAutospacing="1"/>
      <w:ind w:firstLine="200"/>
      <w:textAlignment w:val="top"/>
    </w:pPr>
    <w:rPr/>
  </w:style>
  <w:style w:type="paragraph" w:styleId="Xl304" w:customStyle="1">
    <w:name w:val="xl304"/>
    <w:basedOn w:val="Normal"/>
    <w:qFormat/>
    <w:rsid w:val="004819b3"/>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hAnsi="Arial" w:cs="Arial"/>
    </w:rPr>
  </w:style>
  <w:style w:type="paragraph" w:styleId="Xl305" w:customStyle="1">
    <w:name w:val="xl305"/>
    <w:basedOn w:val="Normal"/>
    <w:qFormat/>
    <w:rsid w:val="004819b3"/>
    <w:pPr>
      <w:pBdr>
        <w:top w:val="single" w:sz="4" w:space="0" w:color="000000"/>
        <w:left w:val="single" w:sz="4" w:space="18" w:color="000000"/>
        <w:bottom w:val="single" w:sz="4" w:space="0" w:color="000000"/>
        <w:right w:val="single" w:sz="4" w:space="0" w:color="000000"/>
      </w:pBdr>
      <w:spacing w:beforeAutospacing="1" w:afterAutospacing="1"/>
      <w:ind w:firstLine="200"/>
      <w:textAlignment w:val="top"/>
    </w:pPr>
    <w:rPr/>
  </w:style>
  <w:style w:type="paragraph" w:styleId="165" w:customStyle="1">
    <w:name w:val="Абзац списка1"/>
    <w:basedOn w:val="Normal"/>
    <w:link w:val="ListParagraphChar"/>
    <w:qFormat/>
    <w:rsid w:val="0024265d"/>
    <w:pPr>
      <w:ind w:left="720" w:hanging="0"/>
      <w:jc w:val="both"/>
    </w:pPr>
    <w:rPr/>
  </w:style>
  <w:style w:type="paragraph" w:styleId="PlainText">
    <w:name w:val="Plain Text"/>
    <w:basedOn w:val="Normal"/>
    <w:link w:val="afffffffd"/>
    <w:unhideWhenUsed/>
    <w:qFormat/>
    <w:rsid w:val="0024265d"/>
    <w:pPr>
      <w:spacing w:lineRule="exact" w:line="340"/>
      <w:ind w:firstLine="289"/>
      <w:jc w:val="both"/>
    </w:pPr>
    <w:rPr>
      <w:sz w:val="26"/>
      <w:szCs w:val="20"/>
    </w:rPr>
  </w:style>
  <w:style w:type="paragraph" w:styleId="166" w:customStyle="1">
    <w:name w:val="Подзаголовок 1"/>
    <w:basedOn w:val="Normal"/>
    <w:next w:val="Normal"/>
    <w:link w:val="1fff6"/>
    <w:qFormat/>
    <w:rsid w:val="0024265d"/>
    <w:pPr>
      <w:keepNext w:val="true"/>
      <w:suppressAutoHyphens w:val="true"/>
      <w:spacing w:before="240" w:after="120"/>
      <w:ind w:firstLine="851"/>
      <w:jc w:val="both"/>
    </w:pPr>
    <w:rPr>
      <w:sz w:val="28"/>
      <w:szCs w:val="28"/>
      <w:u w:val="single"/>
      <w:lang w:eastAsia="en-US"/>
    </w:rPr>
  </w:style>
  <w:style w:type="paragraph" w:styleId="Style126" w:customStyle="1">
    <w:name w:val="Таблица_НАЗВАНИЕ"/>
    <w:basedOn w:val="Normal"/>
    <w:next w:val="Normal"/>
    <w:link w:val="afffffffe"/>
    <w:qFormat/>
    <w:rsid w:val="0024265d"/>
    <w:pPr>
      <w:keepNext w:val="true"/>
      <w:keepLines/>
      <w:suppressAutoHyphens w:val="true"/>
      <w:spacing w:before="0" w:after="120"/>
      <w:jc w:val="center"/>
    </w:pPr>
    <w:rPr>
      <w:b/>
      <w:sz w:val="28"/>
      <w:szCs w:val="28"/>
      <w:lang w:eastAsia="en-US"/>
    </w:rPr>
  </w:style>
  <w:style w:type="paragraph" w:styleId="Style127" w:customStyle="1">
    <w:name w:val="Таблица_ШАПКА"/>
    <w:basedOn w:val="Normal"/>
    <w:next w:val="Normal"/>
    <w:qFormat/>
    <w:rsid w:val="0024265d"/>
    <w:pPr>
      <w:keepNext w:val="true"/>
      <w:suppressAutoHyphens w:val="true"/>
      <w:jc w:val="center"/>
    </w:pPr>
    <w:rPr>
      <w:b/>
    </w:rPr>
  </w:style>
  <w:style w:type="paragraph" w:styleId="Style128" w:customStyle="1">
    <w:name w:val="Таблица Текст ЛЕВО"/>
    <w:uiPriority w:val="99"/>
    <w:qFormat/>
    <w:rsid w:val="00bd306d"/>
    <w:pPr>
      <w:widowControl/>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Style129" w:customStyle="1">
    <w:name w:val="Таблица Текст_ЦЕНТР"/>
    <w:basedOn w:val="Normal"/>
    <w:uiPriority w:val="99"/>
    <w:qFormat/>
    <w:rsid w:val="00bd306d"/>
    <w:pPr>
      <w:jc w:val="center"/>
    </w:pPr>
    <w:rPr/>
  </w:style>
  <w:style w:type="paragraph" w:styleId="Style130" w:customStyle="1">
    <w:name w:val="Талица Текст_ШАПКА"/>
    <w:uiPriority w:val="99"/>
    <w:qFormat/>
    <w:rsid w:val="00bd306d"/>
    <w:pPr>
      <w:keepNext w:val="true"/>
      <w:keepLines/>
      <w:widowControl/>
      <w:bidi w:val="0"/>
      <w:spacing w:lineRule="auto" w:line="240" w:before="0" w:after="0"/>
      <w:jc w:val="center"/>
    </w:pPr>
    <w:rPr>
      <w:rFonts w:ascii="Times New Roman" w:hAnsi="Times New Roman" w:eastAsia="Times New Roman" w:cs="Times New Roman"/>
      <w:b/>
      <w:bCs/>
      <w:color w:val="auto"/>
      <w:kern w:val="0"/>
      <w:sz w:val="24"/>
      <w:szCs w:val="24"/>
      <w:lang w:val="ru-RU" w:eastAsia="ru-RU" w:bidi="ar-SA"/>
    </w:rPr>
  </w:style>
  <w:style w:type="paragraph" w:styleId="Style131" w:customStyle="1">
    <w:name w:val="Таблица НАЗВАНИЕ"/>
    <w:basedOn w:val="Normal"/>
    <w:link w:val="affffffff4"/>
    <w:uiPriority w:val="99"/>
    <w:qFormat/>
    <w:rsid w:val="00bd306d"/>
    <w:pPr>
      <w:keepNext w:val="true"/>
      <w:spacing w:before="0" w:after="120"/>
      <w:ind w:firstLine="709"/>
      <w:jc w:val="center"/>
    </w:pPr>
    <w:rPr>
      <w:rFonts w:ascii="Calibri" w:hAnsi="Calibri" w:eastAsia="Calibri" w:cs="" w:asciiTheme="minorHAnsi" w:cstheme="minorBidi" w:eastAsiaTheme="minorHAnsi" w:hAnsiTheme="minorHAnsi"/>
      <w:b/>
      <w:bCs/>
      <w:sz w:val="28"/>
      <w:szCs w:val="28"/>
      <w:lang w:eastAsia="en-US"/>
    </w:rPr>
  </w:style>
  <w:style w:type="paragraph" w:styleId="Style132" w:customStyle="1">
    <w:name w:val="Таблица №"/>
    <w:basedOn w:val="Normal"/>
    <w:link w:val="affffffff6"/>
    <w:uiPriority w:val="99"/>
    <w:qFormat/>
    <w:rsid w:val="00bd306d"/>
    <w:pPr>
      <w:keepNext w:val="true"/>
      <w:spacing w:before="240" w:after="120"/>
      <w:ind w:firstLine="709"/>
      <w:jc w:val="right"/>
    </w:pPr>
    <w:rPr>
      <w:rFonts w:ascii="Calibri" w:hAnsi="Calibri" w:eastAsia="Calibri" w:cs="" w:asciiTheme="minorHAnsi" w:cstheme="minorBidi" w:eastAsiaTheme="minorHAnsi" w:hAnsiTheme="minorHAnsi"/>
      <w:sz w:val="28"/>
      <w:szCs w:val="28"/>
      <w:lang w:eastAsia="en-US"/>
    </w:rPr>
  </w:style>
  <w:style w:type="paragraph" w:styleId="Style133" w:customStyle="1">
    <w:name w:val="Подзаголовок курсив"/>
    <w:basedOn w:val="Normal"/>
    <w:link w:val="affffffff8"/>
    <w:uiPriority w:val="99"/>
    <w:qFormat/>
    <w:rsid w:val="00bd306d"/>
    <w:pPr>
      <w:keepNext w:val="true"/>
      <w:spacing w:before="240" w:after="60"/>
      <w:ind w:firstLine="709"/>
      <w:jc w:val="center"/>
    </w:pPr>
    <w:rPr>
      <w:rFonts w:ascii="Calibri" w:hAnsi="Calibri" w:eastAsia="Calibri" w:cs="" w:asciiTheme="minorHAnsi" w:cstheme="minorBidi" w:eastAsiaTheme="minorHAnsi" w:hAnsiTheme="minorHAnsi"/>
      <w:i/>
      <w:iCs/>
      <w:sz w:val="28"/>
      <w:szCs w:val="28"/>
      <w:lang w:eastAsia="en-US"/>
    </w:rPr>
  </w:style>
  <w:style w:type="paragraph" w:styleId="235" w:customStyle="1">
    <w:name w:val="Подзаголовок 2"/>
    <w:basedOn w:val="Normal"/>
    <w:uiPriority w:val="99"/>
    <w:qFormat/>
    <w:rsid w:val="00bd306d"/>
    <w:pPr>
      <w:keepNext w:val="true"/>
      <w:spacing w:before="240" w:after="120"/>
      <w:ind w:right="-57" w:firstLine="851"/>
      <w:jc w:val="both"/>
    </w:pPr>
    <w:rPr>
      <w:i/>
      <w:iCs/>
      <w:sz w:val="28"/>
      <w:szCs w:val="28"/>
      <w:u w:val="single"/>
    </w:rPr>
  </w:style>
  <w:style w:type="paragraph" w:styleId="Style134" w:customStyle="1">
    <w:name w:val="Таблица_НОМЕР Продолжение"/>
    <w:basedOn w:val="Normal"/>
    <w:link w:val="affffffffa"/>
    <w:qFormat/>
    <w:rsid w:val="00436243"/>
    <w:pPr>
      <w:keepNext w:val="true"/>
      <w:pageBreakBefore/>
      <w:suppressAutoHyphens w:val="true"/>
      <w:spacing w:before="0" w:after="120"/>
      <w:jc w:val="right"/>
    </w:pPr>
    <w:rPr>
      <w:sz w:val="28"/>
      <w:szCs w:val="28"/>
    </w:rPr>
  </w:style>
  <w:style w:type="paragraph" w:styleId="Font7" w:customStyle="1">
    <w:name w:val="font7"/>
    <w:basedOn w:val="Normal"/>
    <w:qFormat/>
    <w:rsid w:val="00f92ecc"/>
    <w:pPr>
      <w:spacing w:beforeAutospacing="1" w:afterAutospacing="1"/>
    </w:pPr>
    <w:rPr>
      <w:rFonts w:ascii="Arial" w:hAnsi="Arial" w:cs="Arial"/>
      <w:sz w:val="20"/>
      <w:szCs w:val="20"/>
    </w:rPr>
  </w:style>
  <w:style w:type="paragraph" w:styleId="Style135" w:customStyle="1">
    <w:name w:val="ГП_Обычный"/>
    <w:link w:val="affffffffc"/>
    <w:qFormat/>
    <w:rsid w:val="00b302df"/>
    <w:pPr>
      <w:widowControl/>
      <w:bidi w:val="0"/>
      <w:spacing w:lineRule="auto" w:line="240" w:before="0" w:after="0"/>
      <w:ind w:firstLine="709"/>
      <w:contextualSpacing/>
      <w:jc w:val="both"/>
    </w:pPr>
    <w:rPr>
      <w:rFonts w:ascii="Times New Roman" w:hAnsi="Times New Roman" w:eastAsia="Times New Roman" w:cs="Times New Roman"/>
      <w:color w:val="auto"/>
      <w:kern w:val="0"/>
      <w:sz w:val="24"/>
      <w:szCs w:val="24"/>
      <w:lang w:val="ru-RU" w:eastAsia="en-US" w:bidi="ar-SA"/>
    </w:rPr>
  </w:style>
  <w:style w:type="paragraph" w:styleId="167" w:customStyle="1">
    <w:name w:val="Знак Знак Знак Знак Знак Знак Знак Знак Знак Знак1 Знак Знак Знак"/>
    <w:basedOn w:val="Normal"/>
    <w:qFormat/>
    <w:rsid w:val="00b302df"/>
    <w:pPr>
      <w:widowControl w:val="false"/>
      <w:spacing w:lineRule="exact" w:line="240" w:before="0" w:after="160"/>
      <w:jc w:val="right"/>
    </w:pPr>
    <w:rPr>
      <w:sz w:val="20"/>
      <w:szCs w:val="20"/>
      <w:lang w:val="en-GB" w:eastAsia="en-US"/>
    </w:rPr>
  </w:style>
  <w:style w:type="paragraph" w:styleId="Style136" w:customStyle="1">
    <w:name w:val="Табличный_заголовки"/>
    <w:basedOn w:val="Normal"/>
    <w:qFormat/>
    <w:rsid w:val="00b302df"/>
    <w:pPr>
      <w:keepNext w:val="true"/>
      <w:keepLines/>
      <w:jc w:val="center"/>
    </w:pPr>
    <w:rPr>
      <w:rFonts w:ascii="Calibri" w:hAnsi="Calibri" w:eastAsia="" w:asciiTheme="minorHAnsi" w:eastAsiaTheme="minorEastAsia" w:hAnsiTheme="minorHAnsi"/>
      <w:b/>
      <w:sz w:val="22"/>
      <w:szCs w:val="22"/>
    </w:rPr>
  </w:style>
  <w:style w:type="paragraph" w:styleId="Geonika3" w:customStyle="1">
    <w:name w:val="Geonika Обычный текст"/>
    <w:basedOn w:val="Normal"/>
    <w:link w:val="Geonika1"/>
    <w:qFormat/>
    <w:rsid w:val="00b302df"/>
    <w:pPr>
      <w:spacing w:lineRule="auto" w:line="276" w:before="120" w:after="60"/>
      <w:ind w:firstLine="567"/>
      <w:jc w:val="both"/>
    </w:pPr>
    <w:rPr>
      <w:rFonts w:ascii="Calibri" w:hAnsi="Calibri"/>
      <w:lang w:val="en-US" w:eastAsia="ar-SA" w:bidi="en-US"/>
    </w:rPr>
  </w:style>
  <w:style w:type="paragraph" w:styleId="Geonika4" w:customStyle="1">
    <w:name w:val="Geonika Маркированый список"/>
    <w:basedOn w:val="Normal"/>
    <w:link w:val="Geonika2"/>
    <w:qFormat/>
    <w:rsid w:val="00b302df"/>
    <w:pPr>
      <w:tabs>
        <w:tab w:val="clear" w:pos="709"/>
        <w:tab w:val="left" w:pos="900" w:leader="none"/>
      </w:tabs>
      <w:spacing w:lineRule="auto" w:line="276" w:before="120" w:after="120"/>
      <w:ind w:left="1420" w:hanging="0"/>
      <w:jc w:val="both"/>
    </w:pPr>
    <w:rPr>
      <w:rFonts w:ascii="Calibri" w:hAnsi="Calibri"/>
      <w:lang w:val="en-US" w:eastAsia="en-US" w:bidi="en-US"/>
    </w:rPr>
  </w:style>
  <w:style w:type="paragraph" w:styleId="Geonika5" w:customStyle="1">
    <w:name w:val="Geonika Подзаголовк"/>
    <w:basedOn w:val="Geonika3"/>
    <w:link w:val="Geonika4"/>
    <w:qFormat/>
    <w:rsid w:val="00b302df"/>
    <w:pPr/>
    <w:rPr>
      <w:b/>
    </w:rPr>
  </w:style>
  <w:style w:type="paragraph" w:styleId="Style137" w:customStyle="1">
    <w:name w:val="Солонешенский"/>
    <w:basedOn w:val="Normal"/>
    <w:qFormat/>
    <w:rsid w:val="00b302df"/>
    <w:pPr>
      <w:tabs>
        <w:tab w:val="clear" w:pos="709"/>
      </w:tabs>
      <w:spacing w:lineRule="auto" w:line="360"/>
      <w:ind w:left="1287" w:hanging="0"/>
      <w:jc w:val="center"/>
    </w:pPr>
    <w:rPr>
      <w:b/>
      <w:bCs/>
      <w:sz w:val="28"/>
      <w:szCs w:val="28"/>
    </w:rPr>
  </w:style>
  <w:style w:type="paragraph" w:styleId="Western1" w:customStyle="1">
    <w:name w:val="western"/>
    <w:basedOn w:val="Normal"/>
    <w:link w:val="western0"/>
    <w:qFormat/>
    <w:rsid w:val="00b302df"/>
    <w:pPr>
      <w:spacing w:beforeAutospacing="1" w:afterAutospacing="1"/>
    </w:pPr>
    <w:rPr>
      <w:rFonts w:eastAsia="Calibri"/>
    </w:rPr>
  </w:style>
  <w:style w:type="paragraph" w:styleId="Style210" w:customStyle="1">
    <w:name w:val="Style2"/>
    <w:basedOn w:val="Normal"/>
    <w:qFormat/>
    <w:rsid w:val="00b302df"/>
    <w:pPr>
      <w:widowControl w:val="false"/>
      <w:spacing w:lineRule="exact" w:line="413"/>
      <w:ind w:firstLine="1133"/>
      <w:jc w:val="both"/>
    </w:pPr>
    <w:rPr>
      <w:rFonts w:ascii="Arial" w:hAnsi="Arial" w:eastAsia="" w:cs="Arial" w:eastAsiaTheme="minorEastAsia"/>
    </w:rPr>
  </w:style>
  <w:style w:type="paragraph" w:styleId="Style138" w:customStyle="1">
    <w:name w:val="Табличный_слева"/>
    <w:basedOn w:val="Normal"/>
    <w:qFormat/>
    <w:rsid w:val="00b302df"/>
    <w:pPr/>
    <w:rPr>
      <w:sz w:val="22"/>
      <w:szCs w:val="22"/>
    </w:rPr>
  </w:style>
  <w:style w:type="paragraph" w:styleId="S1" w:customStyle="1">
    <w:name w:val="S_Обычный"/>
    <w:basedOn w:val="Normal"/>
    <w:link w:val="S"/>
    <w:qFormat/>
    <w:rsid w:val="00b302df"/>
    <w:pPr>
      <w:ind w:firstLine="709"/>
      <w:jc w:val="both"/>
    </w:pPr>
    <w:rPr/>
  </w:style>
  <w:style w:type="paragraph" w:styleId="Style139" w:customStyle="1">
    <w:name w:val="ААОбычн"/>
    <w:basedOn w:val="Normal"/>
    <w:link w:val="afffffffff1"/>
    <w:qFormat/>
    <w:rsid w:val="00013906"/>
    <w:pPr>
      <w:suppressAutoHyphens w:val="true"/>
      <w:spacing w:lineRule="auto" w:line="276" w:before="0" w:after="0"/>
      <w:ind w:firstLine="567"/>
      <w:contextualSpacing/>
      <w:jc w:val="both"/>
    </w:pPr>
    <w:rPr>
      <w:rFonts w:eastAsia="Calibri"/>
    </w:rPr>
  </w:style>
  <w:style w:type="paragraph" w:styleId="ZZZ1" w:customStyle="1">
    <w:name w:val="ААZZZ"/>
    <w:basedOn w:val="Style92"/>
    <w:link w:val="ZZZ0"/>
    <w:qFormat/>
    <w:rsid w:val="00013906"/>
    <w:pPr>
      <w:spacing w:lineRule="auto" w:line="276"/>
      <w:ind w:left="567" w:firstLine="567"/>
    </w:pPr>
    <w:rPr>
      <w:b/>
      <w:bCs/>
    </w:rPr>
  </w:style>
  <w:style w:type="paragraph" w:styleId="Style140" w:customStyle="1">
    <w:name w:val="АПеречч"/>
    <w:basedOn w:val="Style139"/>
    <w:link w:val="afffffffff3"/>
    <w:qFormat/>
    <w:rsid w:val="00a63850"/>
    <w:pPr>
      <w:tabs>
        <w:tab w:val="clear" w:pos="709"/>
        <w:tab w:val="left" w:pos="1134" w:leader="none"/>
      </w:tabs>
      <w:ind w:hanging="0"/>
    </w:pPr>
    <w:rPr/>
  </w:style>
  <w:style w:type="paragraph" w:styleId="236" w:customStyle="1">
    <w:name w:val="А Заг 2"/>
    <w:basedOn w:val="2"/>
    <w:link w:val="2ff4"/>
    <w:qFormat/>
    <w:rsid w:val="00a63850"/>
    <w:pPr>
      <w:spacing w:lineRule="auto" w:line="360" w:before="240" w:after="120"/>
    </w:pPr>
    <w:rPr>
      <w:sz w:val="24"/>
      <w:szCs w:val="24"/>
    </w:rPr>
  </w:style>
  <w:style w:type="paragraph" w:styleId="168" w:customStyle="1">
    <w:name w:val="А Заг 1"/>
    <w:basedOn w:val="1"/>
    <w:link w:val="1ffff2"/>
    <w:qFormat/>
    <w:rsid w:val="00a63850"/>
    <w:pPr>
      <w:spacing w:lineRule="auto" w:line="360" w:before="240" w:after="240"/>
      <w:jc w:val="center"/>
    </w:pPr>
    <w:rPr>
      <w:rFonts w:ascii="Times New Roman" w:hAnsi="Times New Roman"/>
      <w:sz w:val="28"/>
      <w:szCs w:val="28"/>
      <w:lang w:bidi="en-US"/>
    </w:rPr>
  </w:style>
  <w:style w:type="paragraph" w:styleId="317" w:customStyle="1">
    <w:name w:val="А Заг 3"/>
    <w:basedOn w:val="Normal"/>
    <w:link w:val="3f1"/>
    <w:qFormat/>
    <w:rsid w:val="00a63850"/>
    <w:pPr>
      <w:spacing w:lineRule="auto" w:line="276" w:before="240" w:after="240"/>
      <w:outlineLvl w:val="2"/>
    </w:pPr>
    <w:rPr>
      <w:rFonts w:eastAsia="Calibri"/>
      <w:b/>
      <w:i/>
      <w:szCs w:val="22"/>
      <w:lang w:eastAsia="en-US"/>
    </w:rPr>
  </w:style>
  <w:style w:type="paragraph" w:styleId="BodyTextIndent3">
    <w:name w:val="Body Text Indent 3"/>
    <w:basedOn w:val="Normal"/>
    <w:link w:val="3f3"/>
    <w:qFormat/>
    <w:rsid w:val="00a63850"/>
    <w:pPr>
      <w:spacing w:before="0" w:after="120"/>
      <w:ind w:left="283" w:hanging="0"/>
      <w:jc w:val="both"/>
    </w:pPr>
    <w:rPr>
      <w:sz w:val="16"/>
      <w:szCs w:val="16"/>
    </w:rPr>
  </w:style>
  <w:style w:type="paragraph" w:styleId="237" w:customStyle="1">
    <w:name w:val="Знак2 Знак Знак Знак Знак Знак Знак Знак Знак Знак Знак Знак Знак Знак Знак Знак"/>
    <w:basedOn w:val="Normal"/>
    <w:qFormat/>
    <w:rsid w:val="00a63850"/>
    <w:pPr>
      <w:spacing w:beforeAutospacing="1" w:afterAutospacing="1"/>
      <w:jc w:val="both"/>
    </w:pPr>
    <w:rPr>
      <w:rFonts w:ascii="Tahoma" w:hAnsi="Tahoma"/>
      <w:sz w:val="20"/>
      <w:szCs w:val="20"/>
      <w:lang w:val="en-US" w:eastAsia="en-US"/>
    </w:rPr>
  </w:style>
  <w:style w:type="paragraph" w:styleId="318" w:customStyle="1">
    <w:name w:val="Основной текст3"/>
    <w:basedOn w:val="Normal"/>
    <w:qFormat/>
    <w:rsid w:val="00a63850"/>
    <w:pPr>
      <w:shd w:val="clear" w:color="auto" w:fill="FFFFFF"/>
      <w:spacing w:lineRule="exact" w:line="317"/>
      <w:ind w:hanging="640"/>
      <w:jc w:val="both"/>
    </w:pPr>
    <w:rPr>
      <w:rFonts w:ascii="Calibri" w:hAnsi="Calibri" w:eastAsia="Calibri" w:cs="" w:asciiTheme="minorHAnsi" w:cstheme="minorBidi" w:eastAsiaTheme="minorHAnsi" w:hAnsiTheme="minorHAnsi"/>
      <w:sz w:val="27"/>
      <w:szCs w:val="27"/>
      <w:lang w:eastAsia="en-US"/>
    </w:rPr>
  </w:style>
  <w:style w:type="paragraph" w:styleId="1311" w:customStyle="1">
    <w:name w:val="заголовок 13"/>
    <w:basedOn w:val="Normal"/>
    <w:next w:val="Normal"/>
    <w:qFormat/>
    <w:rsid w:val="00a63850"/>
    <w:pPr>
      <w:keepNext w:val="true"/>
      <w:widowControl w:val="false"/>
      <w:spacing w:lineRule="exact" w:line="200" w:before="120" w:after="0"/>
      <w:jc w:val="both"/>
    </w:pPr>
    <w:rPr>
      <w:b/>
      <w:sz w:val="16"/>
      <w:szCs w:val="20"/>
    </w:rPr>
  </w:style>
  <w:style w:type="paragraph" w:styleId="319" w:customStyle="1">
    <w:name w:val="Основной текст 31"/>
    <w:basedOn w:val="Normal"/>
    <w:qFormat/>
    <w:rsid w:val="00a63850"/>
    <w:pPr>
      <w:suppressAutoHyphens w:val="true"/>
      <w:jc w:val="right"/>
    </w:pPr>
    <w:rPr>
      <w:rFonts w:ascii="Times New Roman CYR" w:hAnsi="Times New Roman CYR"/>
      <w:szCs w:val="20"/>
      <w:lang w:eastAsia="ar-SA"/>
    </w:rPr>
  </w:style>
  <w:style w:type="paragraph" w:styleId="Style141" w:customStyle="1">
    <w:name w:val="Знак Знак Знак Знак"/>
    <w:basedOn w:val="Normal"/>
    <w:qFormat/>
    <w:rsid w:val="00a63850"/>
    <w:pPr>
      <w:tabs>
        <w:tab w:val="clear" w:pos="709"/>
        <w:tab w:val="left" w:pos="432" w:leader="none"/>
      </w:tabs>
      <w:spacing w:before="120" w:after="160"/>
      <w:ind w:left="432" w:hanging="432"/>
      <w:jc w:val="both"/>
    </w:pPr>
    <w:rPr>
      <w:b/>
      <w:bCs/>
      <w:caps/>
      <w:sz w:val="32"/>
      <w:szCs w:val="32"/>
      <w:lang w:val="en-US" w:eastAsia="en-US"/>
    </w:rPr>
  </w:style>
  <w:style w:type="paragraph" w:styleId="169" w:customStyle="1">
    <w:name w:val="Знак Знак Знак Знак Знак Знак Знак Знак Знак Знак1 Знак Знак Знак Знак Знак Знак Знак Знак Знак"/>
    <w:basedOn w:val="Normal"/>
    <w:qFormat/>
    <w:rsid w:val="00a63850"/>
    <w:pPr>
      <w:widowControl w:val="false"/>
      <w:spacing w:lineRule="exact" w:line="240" w:before="0" w:after="160"/>
      <w:jc w:val="right"/>
    </w:pPr>
    <w:rPr>
      <w:sz w:val="20"/>
      <w:szCs w:val="20"/>
      <w:lang w:val="en-GB" w:eastAsia="en-US"/>
    </w:rPr>
  </w:style>
  <w:style w:type="paragraph" w:styleId="Style142" w:customStyle="1">
    <w:name w:val="АААОбычн"/>
    <w:basedOn w:val="Normal"/>
    <w:link w:val="afffffffff6"/>
    <w:qFormat/>
    <w:rsid w:val="00a63850"/>
    <w:pPr>
      <w:spacing w:lineRule="auto" w:line="360"/>
      <w:ind w:firstLine="567"/>
      <w:jc w:val="both"/>
    </w:pPr>
    <w:rPr>
      <w:rFonts w:eastAsia="Calibri" w:eastAsiaTheme="minorHAnsi"/>
      <w:sz w:val="28"/>
      <w:szCs w:val="28"/>
      <w:lang w:eastAsia="en-US"/>
    </w:rPr>
  </w:style>
  <w:style w:type="paragraph" w:styleId="320" w:customStyle="1">
    <w:name w:val="Стиль3"/>
    <w:basedOn w:val="Normal"/>
    <w:qFormat/>
    <w:rsid w:val="00a63850"/>
    <w:pPr>
      <w:ind w:firstLine="540"/>
      <w:jc w:val="both"/>
    </w:pPr>
    <w:rPr>
      <w:rFonts w:ascii="Arial" w:hAnsi="Arial"/>
    </w:rPr>
  </w:style>
  <w:style w:type="paragraph" w:styleId="BodyTextIndent21" w:customStyle="1">
    <w:name w:val="Body Text Indent 21"/>
    <w:basedOn w:val="Normal"/>
    <w:qFormat/>
    <w:rsid w:val="00a63850"/>
    <w:pPr>
      <w:widowControl w:val="false"/>
      <w:ind w:firstLine="709"/>
      <w:jc w:val="both"/>
    </w:pPr>
    <w:rPr>
      <w:sz w:val="28"/>
      <w:szCs w:val="20"/>
    </w:rPr>
  </w:style>
  <w:style w:type="paragraph" w:styleId="170" w:customStyle="1">
    <w:name w:val="ААЗаг1"/>
    <w:basedOn w:val="1"/>
    <w:link w:val="1ffff5"/>
    <w:qFormat/>
    <w:rsid w:val="00a63850"/>
    <w:pPr>
      <w:spacing w:lineRule="auto" w:line="240" w:before="240" w:after="360"/>
      <w:jc w:val="center"/>
    </w:pPr>
    <w:rPr>
      <w:rFonts w:ascii="Times New Roman" w:hAnsi="Times New Roman"/>
      <w:lang w:eastAsia="ru-RU"/>
    </w:rPr>
  </w:style>
  <w:style w:type="paragraph" w:styleId="321" w:customStyle="1">
    <w:name w:val="ААЗаг3"/>
    <w:basedOn w:val="3"/>
    <w:link w:val="3f7"/>
    <w:qFormat/>
    <w:rsid w:val="00a63850"/>
    <w:pPr>
      <w:keepLines w:val="false"/>
      <w:spacing w:lineRule="auto" w:line="240" w:before="360" w:after="240"/>
    </w:pPr>
    <w:rPr>
      <w:rFonts w:eastAsia="Times New Roman"/>
      <w:b w:val="false"/>
      <w:lang w:eastAsia="ru-RU"/>
    </w:rPr>
  </w:style>
  <w:style w:type="paragraph" w:styleId="Style143" w:customStyle="1">
    <w:name w:val="ААТАБЛ"/>
    <w:basedOn w:val="Caption"/>
    <w:link w:val="afffffffff8"/>
    <w:uiPriority w:val="99"/>
    <w:qFormat/>
    <w:rsid w:val="00a63850"/>
    <w:pPr>
      <w:keepNext w:val="true"/>
      <w:widowControl/>
      <w:spacing w:before="120" w:after="0"/>
      <w:ind w:hanging="0"/>
      <w:jc w:val="right"/>
      <w:textAlignment w:val="auto"/>
    </w:pPr>
    <w:rPr>
      <w:rFonts w:ascii="Times New Roman" w:hAnsi="Times New Roman"/>
      <w:b w:val="false"/>
      <w:bCs w:val="false"/>
      <w:i/>
      <w:iCs/>
      <w:sz w:val="24"/>
      <w:szCs w:val="24"/>
    </w:rPr>
  </w:style>
  <w:style w:type="paragraph" w:styleId="Style144" w:customStyle="1">
    <w:name w:val="ААТЕКВТ"/>
    <w:basedOn w:val="Normal"/>
    <w:link w:val="afffffffffa"/>
    <w:qFormat/>
    <w:rsid w:val="00a63850"/>
    <w:pPr>
      <w:spacing w:lineRule="auto" w:line="276"/>
      <w:jc w:val="center"/>
    </w:pPr>
    <w:rPr>
      <w:rFonts w:eastAsia="Calibri" w:eastAsiaTheme="minorHAnsi"/>
      <w:sz w:val="20"/>
      <w:szCs w:val="20"/>
      <w:lang w:eastAsia="en-US"/>
    </w:rPr>
  </w:style>
  <w:style w:type="paragraph" w:styleId="Style145" w:customStyle="1">
    <w:name w:val="ААПодзаг"/>
    <w:basedOn w:val="Normal"/>
    <w:link w:val="afffffffffc"/>
    <w:qFormat/>
    <w:rsid w:val="00a63850"/>
    <w:pPr>
      <w:spacing w:lineRule="auto" w:line="276" w:before="120" w:after="160"/>
      <w:jc w:val="center"/>
    </w:pPr>
    <w:rPr>
      <w:rFonts w:eastAsia="Calibri" w:eastAsiaTheme="minorHAnsi"/>
      <w:i/>
      <w:sz w:val="28"/>
      <w:szCs w:val="28"/>
      <w:lang w:eastAsia="en-US"/>
    </w:rPr>
  </w:style>
  <w:style w:type="paragraph" w:styleId="1211" w:customStyle="1">
    <w:name w:val="Знак Знак Знак Знак Знак Знак Знак Знак Знак Знак1 Знак Знак Знак Знак Знак Знак Знак Знак Знак2"/>
    <w:basedOn w:val="Normal"/>
    <w:qFormat/>
    <w:rsid w:val="00a63850"/>
    <w:pPr>
      <w:widowControl w:val="false"/>
      <w:spacing w:lineRule="exact" w:line="240" w:before="0" w:after="160"/>
      <w:jc w:val="right"/>
    </w:pPr>
    <w:rPr>
      <w:sz w:val="20"/>
      <w:szCs w:val="20"/>
      <w:lang w:val="en-GB" w:eastAsia="en-US"/>
    </w:rPr>
  </w:style>
  <w:style w:type="paragraph" w:styleId="1121" w:customStyle="1">
    <w:name w:val="Знак Знак Знак Знак Знак Знак Знак Знак Знак Знак1 Знак Знак Знак Знак Знак Знак Знак Знак Знак1"/>
    <w:basedOn w:val="Normal"/>
    <w:qFormat/>
    <w:rsid w:val="00a63850"/>
    <w:pPr>
      <w:widowControl w:val="false"/>
      <w:spacing w:lineRule="exact" w:line="240" w:before="0" w:after="160"/>
      <w:jc w:val="right"/>
    </w:pPr>
    <w:rPr>
      <w:sz w:val="20"/>
      <w:szCs w:val="20"/>
      <w:lang w:val="en-GB" w:eastAsia="en-US"/>
    </w:rPr>
  </w:style>
  <w:style w:type="paragraph" w:styleId="Style146" w:customStyle="1">
    <w:name w:val="Табл-цифровой текст"/>
    <w:basedOn w:val="1"/>
    <w:qFormat/>
    <w:rsid w:val="00a63850"/>
    <w:pPr>
      <w:spacing w:lineRule="atLeast" w:line="240" w:before="0" w:after="0"/>
      <w:jc w:val="center"/>
    </w:pPr>
    <w:rPr>
      <w:rFonts w:ascii="Times New Roman" w:hAnsi="Times New Roman"/>
      <w:bCs w:val="false"/>
      <w:kern w:val="0"/>
      <w:sz w:val="24"/>
      <w:szCs w:val="20"/>
      <w:lang w:eastAsia="ru-RU"/>
    </w:rPr>
  </w:style>
  <w:style w:type="paragraph" w:styleId="Style510" w:customStyle="1">
    <w:name w:val="Style5"/>
    <w:basedOn w:val="Normal"/>
    <w:qFormat/>
    <w:rsid w:val="00a63850"/>
    <w:pPr>
      <w:widowControl w:val="false"/>
    </w:pPr>
    <w:rPr/>
  </w:style>
  <w:style w:type="paragraph" w:styleId="238" w:customStyle="1">
    <w:name w:val="Основной текст (2)"/>
    <w:basedOn w:val="Normal"/>
    <w:link w:val="2ff7"/>
    <w:qFormat/>
    <w:rsid w:val="00a63850"/>
    <w:pPr>
      <w:widowControl w:val="false"/>
      <w:shd w:val="clear" w:color="auto" w:fill="FFFFFF"/>
      <w:spacing w:lineRule="auto" w:line="240" w:before="0" w:after="420"/>
      <w:ind w:hanging="340"/>
      <w:jc w:val="center"/>
    </w:pPr>
    <w:rPr>
      <w:b/>
      <w:bCs/>
      <w:sz w:val="22"/>
      <w:szCs w:val="22"/>
      <w:lang w:eastAsia="en-US"/>
    </w:rPr>
  </w:style>
  <w:style w:type="paragraph" w:styleId="322" w:customStyle="1">
    <w:name w:val="Основной текст (3)"/>
    <w:basedOn w:val="Normal"/>
    <w:link w:val="3f8"/>
    <w:qFormat/>
    <w:rsid w:val="00a63850"/>
    <w:pPr>
      <w:widowControl w:val="false"/>
      <w:shd w:val="clear" w:color="auto" w:fill="FFFFFF"/>
      <w:spacing w:lineRule="auto" w:line="240" w:before="60" w:after="0"/>
    </w:pPr>
    <w:rPr>
      <w:b/>
      <w:bCs/>
      <w:spacing w:val="183"/>
      <w:sz w:val="17"/>
      <w:szCs w:val="17"/>
      <w:lang w:eastAsia="en-US"/>
    </w:rPr>
  </w:style>
  <w:style w:type="paragraph" w:styleId="64" w:customStyle="1">
    <w:name w:val="Основной текст6"/>
    <w:basedOn w:val="Normal"/>
    <w:qFormat/>
    <w:rsid w:val="00a63850"/>
    <w:pPr>
      <w:widowControl w:val="false"/>
      <w:shd w:val="clear" w:color="auto" w:fill="FFFFFF"/>
      <w:spacing w:lineRule="exact" w:line="322"/>
      <w:ind w:hanging="600"/>
    </w:pPr>
    <w:rPr>
      <w:color w:val="000000"/>
      <w:spacing w:val="4"/>
      <w:lang w:bidi="ru-RU"/>
    </w:rPr>
  </w:style>
  <w:style w:type="paragraph" w:styleId="76" w:customStyle="1">
    <w:name w:val="Заголовок №7"/>
    <w:basedOn w:val="Normal"/>
    <w:link w:val="74"/>
    <w:qFormat/>
    <w:rsid w:val="00a63850"/>
    <w:pPr>
      <w:widowControl w:val="false"/>
      <w:shd w:val="clear" w:color="auto" w:fill="FFFFFF"/>
      <w:spacing w:lineRule="auto" w:line="240" w:before="0" w:after="240"/>
      <w:ind w:hanging="1260"/>
      <w:jc w:val="center"/>
      <w:outlineLvl w:val="6"/>
    </w:pPr>
    <w:rPr>
      <w:b/>
      <w:bCs/>
      <w:spacing w:val="6"/>
      <w:sz w:val="22"/>
      <w:szCs w:val="22"/>
      <w:lang w:eastAsia="en-US"/>
    </w:rPr>
  </w:style>
  <w:style w:type="paragraph" w:styleId="77" w:customStyle="1">
    <w:name w:val="Подпись к таблице (7)"/>
    <w:basedOn w:val="Normal"/>
    <w:link w:val="76"/>
    <w:qFormat/>
    <w:rsid w:val="00a63850"/>
    <w:pPr>
      <w:widowControl w:val="false"/>
      <w:shd w:val="clear" w:color="auto" w:fill="FFFFFF"/>
      <w:spacing w:lineRule="auto" w:line="240" w:before="0" w:after="60"/>
      <w:jc w:val="both"/>
    </w:pPr>
    <w:rPr>
      <w:b/>
      <w:bCs/>
      <w:spacing w:val="5"/>
      <w:sz w:val="21"/>
      <w:szCs w:val="21"/>
      <w:lang w:eastAsia="en-US"/>
    </w:rPr>
  </w:style>
  <w:style w:type="paragraph" w:styleId="Style147" w:customStyle="1">
    <w:name w:val="АААПодзаг"/>
    <w:basedOn w:val="Style145"/>
    <w:link w:val="affffffffff"/>
    <w:qFormat/>
    <w:rsid w:val="00a63850"/>
    <w:pPr/>
    <w:rPr/>
  </w:style>
  <w:style w:type="paragraph" w:styleId="Style148" w:customStyle="1">
    <w:name w:val="Style1"/>
    <w:basedOn w:val="Normal"/>
    <w:qFormat/>
    <w:rsid w:val="00a63850"/>
    <w:pPr>
      <w:widowControl w:val="false"/>
    </w:pPr>
    <w:rPr/>
  </w:style>
  <w:style w:type="paragraph" w:styleId="Style1110" w:customStyle="1">
    <w:name w:val="Style11"/>
    <w:basedOn w:val="Normal"/>
    <w:qFormat/>
    <w:rsid w:val="00a63850"/>
    <w:pPr>
      <w:widowControl w:val="false"/>
      <w:spacing w:lineRule="exact" w:line="322"/>
      <w:ind w:firstLine="691"/>
    </w:pPr>
    <w:rPr/>
  </w:style>
  <w:style w:type="paragraph" w:styleId="Style191" w:customStyle="1">
    <w:name w:val="Style19"/>
    <w:basedOn w:val="Normal"/>
    <w:qFormat/>
    <w:rsid w:val="00a63850"/>
    <w:pPr>
      <w:widowControl w:val="false"/>
      <w:spacing w:lineRule="exact" w:line="386"/>
      <w:ind w:firstLine="1627"/>
    </w:pPr>
    <w:rPr/>
  </w:style>
  <w:style w:type="paragraph" w:styleId="Style1210" w:customStyle="1">
    <w:name w:val="Style12"/>
    <w:basedOn w:val="Normal"/>
    <w:qFormat/>
    <w:rsid w:val="00a63850"/>
    <w:pPr>
      <w:widowControl w:val="false"/>
    </w:pPr>
    <w:rPr/>
  </w:style>
  <w:style w:type="paragraph" w:styleId="Style1310" w:customStyle="1">
    <w:name w:val="Style13"/>
    <w:basedOn w:val="Normal"/>
    <w:qFormat/>
    <w:rsid w:val="00a63850"/>
    <w:pPr>
      <w:widowControl w:val="false"/>
      <w:spacing w:lineRule="exact" w:line="322"/>
      <w:jc w:val="both"/>
    </w:pPr>
    <w:rPr/>
  </w:style>
  <w:style w:type="paragraph" w:styleId="ConsNormal" w:customStyle="1">
    <w:name w:val="ConsNormal"/>
    <w:qFormat/>
    <w:rsid w:val="00a63850"/>
    <w:pPr>
      <w:widowControl w:val="false"/>
      <w:bidi w:val="0"/>
      <w:spacing w:lineRule="auto" w:line="240" w:before="0" w:after="0"/>
      <w:ind w:firstLine="720"/>
      <w:jc w:val="left"/>
    </w:pPr>
    <w:rPr>
      <w:rFonts w:ascii="Arial" w:hAnsi="Arial" w:eastAsia="Times New Roman" w:cs="Times New Roman"/>
      <w:color w:val="auto"/>
      <w:kern w:val="0"/>
      <w:sz w:val="20"/>
      <w:szCs w:val="20"/>
      <w:lang w:val="ru-RU" w:eastAsia="ru-RU" w:bidi="ar-SA"/>
    </w:rPr>
  </w:style>
  <w:style w:type="paragraph" w:styleId="Style181" w:customStyle="1">
    <w:name w:val="Style18"/>
    <w:basedOn w:val="Normal"/>
    <w:qFormat/>
    <w:rsid w:val="00a63850"/>
    <w:pPr>
      <w:widowControl w:val="false"/>
      <w:spacing w:lineRule="exact" w:line="322"/>
      <w:ind w:hanging="1210"/>
    </w:pPr>
    <w:rPr/>
  </w:style>
  <w:style w:type="paragraph" w:styleId="Style251" w:customStyle="1">
    <w:name w:val="Style25"/>
    <w:basedOn w:val="Normal"/>
    <w:qFormat/>
    <w:rsid w:val="00a63850"/>
    <w:pPr>
      <w:widowControl w:val="false"/>
      <w:spacing w:lineRule="exact" w:line="322"/>
      <w:jc w:val="right"/>
    </w:pPr>
    <w:rPr/>
  </w:style>
  <w:style w:type="paragraph" w:styleId="Style271" w:customStyle="1">
    <w:name w:val="Style27"/>
    <w:basedOn w:val="Normal"/>
    <w:qFormat/>
    <w:rsid w:val="00a63850"/>
    <w:pPr>
      <w:widowControl w:val="false"/>
      <w:spacing w:lineRule="exact" w:line="331"/>
      <w:ind w:hanging="360"/>
    </w:pPr>
    <w:rPr/>
  </w:style>
  <w:style w:type="paragraph" w:styleId="30" w:customStyle="1">
    <w:name w:val="Основной текст30"/>
    <w:basedOn w:val="Normal"/>
    <w:qFormat/>
    <w:rsid w:val="00a63850"/>
    <w:pPr>
      <w:shd w:val="clear" w:color="auto" w:fill="FFFFFF"/>
      <w:spacing w:lineRule="exact" w:line="320" w:before="420" w:after="0"/>
      <w:jc w:val="both"/>
    </w:pPr>
    <w:rPr>
      <w:sz w:val="27"/>
      <w:szCs w:val="27"/>
      <w:shd w:fill="FFFFFF" w:val="clear"/>
    </w:rPr>
  </w:style>
  <w:style w:type="paragraph" w:styleId="ListBullet2">
    <w:name w:val="List Bullet 2"/>
    <w:basedOn w:val="Normal"/>
    <w:autoRedefine/>
    <w:qFormat/>
    <w:rsid w:val="00a63850"/>
    <w:pPr>
      <w:tabs>
        <w:tab w:val="clear" w:pos="709"/>
        <w:tab w:val="left" w:pos="360" w:leader="none"/>
      </w:tabs>
      <w:snapToGrid w:val="false"/>
      <w:ind w:left="566" w:firstLine="285"/>
      <w:jc w:val="both"/>
    </w:pPr>
    <w:rPr>
      <w:sz w:val="20"/>
      <w:szCs w:val="20"/>
    </w:rPr>
  </w:style>
  <w:style w:type="paragraph" w:styleId="Style1010" w:customStyle="1">
    <w:name w:val="Style10"/>
    <w:basedOn w:val="Normal"/>
    <w:qFormat/>
    <w:rsid w:val="00a63850"/>
    <w:pPr>
      <w:widowControl w:val="false"/>
      <w:spacing w:lineRule="exact" w:line="324"/>
      <w:ind w:hanging="350"/>
    </w:pPr>
    <w:rPr/>
  </w:style>
  <w:style w:type="paragraph" w:styleId="Ed" w:customStyle="1">
    <w:name w:val="дeсновdой те"/>
    <w:basedOn w:val="Normal"/>
    <w:qFormat/>
    <w:rsid w:val="00a63850"/>
    <w:pPr>
      <w:widowControl w:val="false"/>
      <w:tabs>
        <w:tab w:val="clear" w:pos="709"/>
        <w:tab w:val="left" w:pos="0" w:leader="none"/>
      </w:tabs>
      <w:snapToGrid w:val="false"/>
      <w:ind w:right="283" w:hanging="0"/>
      <w:jc w:val="both"/>
    </w:pPr>
    <w:rPr>
      <w:sz w:val="28"/>
      <w:szCs w:val="20"/>
    </w:rPr>
  </w:style>
  <w:style w:type="paragraph" w:styleId="Style149" w:customStyle="1">
    <w:name w:val="Табличный"/>
    <w:basedOn w:val="Normal"/>
    <w:qFormat/>
    <w:rsid w:val="00a63850"/>
    <w:pPr>
      <w:widowControl w:val="false"/>
      <w:snapToGrid w:val="false"/>
      <w:jc w:val="center"/>
    </w:pPr>
    <w:rPr>
      <w:sz w:val="26"/>
      <w:szCs w:val="20"/>
    </w:rPr>
  </w:style>
  <w:style w:type="paragraph" w:styleId="Blockquote" w:customStyle="1">
    <w:name w:val="Blockquote"/>
    <w:basedOn w:val="Normal"/>
    <w:qFormat/>
    <w:rsid w:val="00a63850"/>
    <w:pPr>
      <w:widowControl w:val="false"/>
      <w:snapToGrid w:val="false"/>
      <w:spacing w:before="100" w:after="100"/>
      <w:ind w:left="360" w:right="360" w:hanging="0"/>
      <w:jc w:val="both"/>
    </w:pPr>
    <w:rPr>
      <w:szCs w:val="20"/>
    </w:rPr>
  </w:style>
  <w:style w:type="paragraph" w:styleId="171" w:customStyle="1">
    <w:name w:val="Знак Знак Знак1 Знак"/>
    <w:basedOn w:val="Normal"/>
    <w:autoRedefine/>
    <w:qFormat/>
    <w:rsid w:val="00a63850"/>
    <w:pPr>
      <w:spacing w:lineRule="exact" w:line="240" w:before="0" w:after="160"/>
    </w:pPr>
    <w:rPr>
      <w:rFonts w:eastAsia="SimSun"/>
      <w:b/>
      <w:sz w:val="28"/>
      <w:lang w:val="en-US" w:eastAsia="en-US"/>
    </w:rPr>
  </w:style>
  <w:style w:type="paragraph" w:styleId="Style150" w:customStyle="1">
    <w:name w:val="Перечень"/>
    <w:basedOn w:val="ListParagraph"/>
    <w:link w:val="affffffffff2"/>
    <w:qFormat/>
    <w:rsid w:val="00a63850"/>
    <w:pPr>
      <w:tabs>
        <w:tab w:val="clear" w:pos="709"/>
        <w:tab w:val="left" w:pos="360" w:leader="none"/>
        <w:tab w:val="left" w:pos="1134" w:leader="none"/>
      </w:tabs>
      <w:spacing w:lineRule="auto" w:line="360" w:before="0" w:after="0"/>
      <w:ind w:left="0" w:firstLine="567"/>
      <w:contextualSpacing/>
      <w:jc w:val="both"/>
    </w:pPr>
    <w:rPr>
      <w:sz w:val="28"/>
      <w:szCs w:val="24"/>
    </w:rPr>
  </w:style>
  <w:style w:type="paragraph" w:styleId="Style151" w:customStyle="1">
    <w:name w:val="АСодТат"/>
    <w:basedOn w:val="Normal"/>
    <w:link w:val="affffffffff4"/>
    <w:qFormat/>
    <w:rsid w:val="00a63850"/>
    <w:pPr>
      <w:tabs>
        <w:tab w:val="clear" w:pos="709"/>
        <w:tab w:val="left" w:pos="567" w:leader="none"/>
      </w:tabs>
      <w:spacing w:lineRule="auto" w:line="276"/>
      <w:jc w:val="center"/>
    </w:pPr>
    <w:rPr>
      <w:rFonts w:eastAsia="Calibri" w:eastAsiaTheme="minorHAnsi"/>
      <w:sz w:val="20"/>
      <w:szCs w:val="20"/>
      <w:lang w:eastAsia="en-US"/>
    </w:rPr>
  </w:style>
  <w:style w:type="paragraph" w:styleId="1212" w:customStyle="1">
    <w:name w:val="Основной текст12"/>
    <w:basedOn w:val="Normal"/>
    <w:qFormat/>
    <w:rsid w:val="00a63850"/>
    <w:pPr>
      <w:widowControl w:val="false"/>
      <w:shd w:val="clear" w:color="auto" w:fill="FFFFFF"/>
      <w:spacing w:lineRule="exact" w:line="206" w:before="0" w:after="60"/>
      <w:jc w:val="center"/>
    </w:pPr>
    <w:rPr>
      <w:rFonts w:ascii="Lucida Sans Unicode" w:hAnsi="Lucida Sans Unicode" w:eastAsia="Lucida Sans Unicode" w:cs="Lucida Sans Unicode"/>
      <w:color w:val="000000"/>
      <w:spacing w:val="-3"/>
      <w:sz w:val="14"/>
      <w:szCs w:val="14"/>
      <w:lang w:bidi="ru-RU"/>
    </w:rPr>
  </w:style>
  <w:style w:type="paragraph" w:styleId="Style152" w:customStyle="1">
    <w:name w:val="Пподзаг"/>
    <w:basedOn w:val="317"/>
    <w:link w:val="affffffffff6"/>
    <w:qFormat/>
    <w:rsid w:val="00a63850"/>
    <w:pPr>
      <w:ind w:firstLine="567"/>
    </w:pPr>
    <w:rPr/>
  </w:style>
  <w:style w:type="paragraph" w:styleId="Style153">
    <w:name w:val="Книжная"/>
    <w:basedOn w:val="Normal"/>
    <w:qFormat/>
    <w:pPr/>
    <w:rPr/>
  </w:style>
  <w:style w:type="paragraph" w:styleId="Style154">
    <w:name w:val="Обычный"/>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ru-RU" w:eastAsia="en-US" w:bidi="ar-SA"/>
    </w:rPr>
  </w:style>
  <w:style w:type="numbering" w:styleId="NoList" w:default="1">
    <w:name w:val="No List"/>
    <w:uiPriority w:val="99"/>
    <w:semiHidden/>
    <w:unhideWhenUsed/>
    <w:qFormat/>
  </w:style>
  <w:style w:type="numbering" w:styleId="OutlineList2">
    <w:name w:val="Outline List 2"/>
    <w:unhideWhenUsed/>
    <w:qFormat/>
    <w:rsid w:val="00bd6633"/>
  </w:style>
  <w:style w:type="numbering" w:styleId="172" w:customStyle="1">
    <w:name w:val="Нет списка1"/>
    <w:uiPriority w:val="99"/>
    <w:semiHidden/>
    <w:unhideWhenUsed/>
    <w:qFormat/>
    <w:rsid w:val="001371ad"/>
  </w:style>
  <w:style w:type="numbering" w:styleId="1122" w:customStyle="1">
    <w:name w:val="Нет списка11"/>
    <w:uiPriority w:val="99"/>
    <w:semiHidden/>
    <w:unhideWhenUsed/>
    <w:qFormat/>
    <w:rsid w:val="001371ad"/>
  </w:style>
  <w:style w:type="numbering" w:styleId="239" w:customStyle="1">
    <w:name w:val="Нет списка2"/>
    <w:uiPriority w:val="99"/>
    <w:semiHidden/>
    <w:unhideWhenUsed/>
    <w:qFormat/>
    <w:rsid w:val="001371ad"/>
  </w:style>
  <w:style w:type="numbering" w:styleId="11110" w:customStyle="1">
    <w:name w:val="Нет списка111"/>
    <w:uiPriority w:val="99"/>
    <w:semiHidden/>
    <w:unhideWhenUsed/>
    <w:qFormat/>
    <w:rsid w:val="001371ad"/>
  </w:style>
  <w:style w:type="numbering" w:styleId="323" w:customStyle="1">
    <w:name w:val="Нет списка3"/>
    <w:uiPriority w:val="99"/>
    <w:semiHidden/>
    <w:unhideWhenUsed/>
    <w:qFormat/>
    <w:rsid w:val="001371ad"/>
  </w:style>
  <w:style w:type="numbering" w:styleId="1213" w:customStyle="1">
    <w:name w:val="Нет списка12"/>
    <w:uiPriority w:val="99"/>
    <w:semiHidden/>
    <w:unhideWhenUsed/>
    <w:qFormat/>
    <w:rsid w:val="001371ad"/>
  </w:style>
  <w:style w:type="numbering" w:styleId="48" w:customStyle="1">
    <w:name w:val="Нет списка4"/>
    <w:uiPriority w:val="99"/>
    <w:semiHidden/>
    <w:unhideWhenUsed/>
    <w:qFormat/>
    <w:rsid w:val="001371ad"/>
  </w:style>
  <w:style w:type="numbering" w:styleId="1312" w:customStyle="1">
    <w:name w:val="Нет списка13"/>
    <w:uiPriority w:val="99"/>
    <w:semiHidden/>
    <w:unhideWhenUsed/>
    <w:qFormat/>
    <w:rsid w:val="001371ad"/>
  </w:style>
  <w:style w:type="numbering" w:styleId="2111" w:customStyle="1">
    <w:name w:val="Нет списка21"/>
    <w:uiPriority w:val="99"/>
    <w:semiHidden/>
    <w:unhideWhenUsed/>
    <w:qFormat/>
    <w:rsid w:val="001371ad"/>
  </w:style>
  <w:style w:type="numbering" w:styleId="1123" w:customStyle="1">
    <w:name w:val="Нет списка112"/>
    <w:uiPriority w:val="99"/>
    <w:semiHidden/>
    <w:unhideWhenUsed/>
    <w:qFormat/>
    <w:rsid w:val="001371ad"/>
  </w:style>
  <w:style w:type="numbering" w:styleId="3110" w:customStyle="1">
    <w:name w:val="Нет списка31"/>
    <w:uiPriority w:val="99"/>
    <w:semiHidden/>
    <w:unhideWhenUsed/>
    <w:qFormat/>
    <w:rsid w:val="001371ad"/>
  </w:style>
  <w:style w:type="numbering" w:styleId="1214" w:customStyle="1">
    <w:name w:val="Нет списка121"/>
    <w:uiPriority w:val="99"/>
    <w:semiHidden/>
    <w:unhideWhenUsed/>
    <w:qFormat/>
    <w:rsid w:val="001371ad"/>
  </w:style>
  <w:style w:type="numbering" w:styleId="56" w:customStyle="1">
    <w:name w:val="Нет списка5"/>
    <w:uiPriority w:val="99"/>
    <w:semiHidden/>
    <w:unhideWhenUsed/>
    <w:qFormat/>
    <w:rsid w:val="001371ad"/>
  </w:style>
  <w:style w:type="numbering" w:styleId="1411" w:customStyle="1">
    <w:name w:val="Нет списка14"/>
    <w:uiPriority w:val="99"/>
    <w:semiHidden/>
    <w:unhideWhenUsed/>
    <w:qFormat/>
    <w:rsid w:val="001371ad"/>
  </w:style>
  <w:style w:type="numbering" w:styleId="2210" w:customStyle="1">
    <w:name w:val="Нет списка22"/>
    <w:uiPriority w:val="99"/>
    <w:semiHidden/>
    <w:unhideWhenUsed/>
    <w:qFormat/>
    <w:rsid w:val="001371ad"/>
  </w:style>
  <w:style w:type="numbering" w:styleId="1131" w:customStyle="1">
    <w:name w:val="Нет списка113"/>
    <w:uiPriority w:val="99"/>
    <w:semiHidden/>
    <w:unhideWhenUsed/>
    <w:qFormat/>
    <w:rsid w:val="001371ad"/>
  </w:style>
  <w:style w:type="numbering" w:styleId="324" w:customStyle="1">
    <w:name w:val="Нет списка32"/>
    <w:uiPriority w:val="99"/>
    <w:semiHidden/>
    <w:unhideWhenUsed/>
    <w:qFormat/>
    <w:rsid w:val="001371ad"/>
  </w:style>
  <w:style w:type="numbering" w:styleId="1221" w:customStyle="1">
    <w:name w:val="Нет списка122"/>
    <w:uiPriority w:val="99"/>
    <w:semiHidden/>
    <w:unhideWhenUsed/>
    <w:qFormat/>
    <w:rsid w:val="001371ad"/>
  </w:style>
  <w:style w:type="numbering" w:styleId="65" w:customStyle="1">
    <w:name w:val="Нет списка6"/>
    <w:uiPriority w:val="99"/>
    <w:semiHidden/>
    <w:unhideWhenUsed/>
    <w:qFormat/>
    <w:rsid w:val="00333161"/>
  </w:style>
  <w:style w:type="numbering" w:styleId="78" w:customStyle="1">
    <w:name w:val="Нет списка7"/>
    <w:uiPriority w:val="99"/>
    <w:semiHidden/>
    <w:unhideWhenUsed/>
    <w:qFormat/>
    <w:rsid w:val="00a82e47"/>
  </w:style>
  <w:style w:type="numbering" w:styleId="173" w:customStyle="1">
    <w:name w:val="Многоуровневый Пользовательский1"/>
    <w:qFormat/>
    <w:rsid w:val="00390b56"/>
  </w:style>
  <w:style w:type="numbering" w:styleId="240" w:customStyle="1">
    <w:name w:val="Многоуровневый Пользовательский2"/>
    <w:qFormat/>
    <w:rsid w:val="00390b56"/>
  </w:style>
  <w:style w:type="numbering" w:styleId="325" w:customStyle="1">
    <w:name w:val="Многоуровневый Пользовательский3"/>
    <w:semiHidden/>
    <w:unhideWhenUsed/>
    <w:qFormat/>
    <w:rsid w:val="00390b56"/>
  </w:style>
  <w:style w:type="table" w:default="1" w:styleId="a7">
    <w:name w:val="Normal Table"/>
    <w:uiPriority w:val="99"/>
    <w:semiHidden/>
    <w:unhideWhenUsed/>
    <w:tblPr>
      <w:tblInd w:w="0" w:type="dxa"/>
      <w:tblCellMar>
        <w:top w:w="0" w:type="dxa"/>
        <w:left w:w="108" w:type="dxa"/>
        <w:bottom w:w="0" w:type="dxa"/>
        <w:right w:w="108" w:type="dxa"/>
      </w:tblCellMar>
    </w:tblPr>
  </w:style>
  <w:style w:type="table" w:styleId="af">
    <w:name w:val="Table Grid"/>
    <w:basedOn w:val="a7"/>
    <w:rsid w:val="009f4fc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fc">
    <w:name w:val="Сетка таблицы1"/>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e">
    <w:name w:val="Сетка таблицы2"/>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
    <w:name w:val="Сетка таблицы3"/>
    <w:basedOn w:val="a7"/>
    <w:uiPriority w:val="59"/>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2">
    <w:name w:val="Сетка таблицы11"/>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1">
    <w:name w:val="Сетка таблицы21"/>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45">
    <w:name w:val="Сетка таблицы4"/>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2">
    <w:name w:val="Сетка таблицы12"/>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1">
    <w:name w:val="Сетка таблицы22"/>
    <w:basedOn w:val="a7"/>
    <w:rsid w:val="001371ad"/>
    <w:pPr>
      <w:spacing w:after="0" w:line="240" w:lineRule="auto"/>
    </w:pPr>
    <w:rPr>
      <w:lang w:eastAsia="ru-RU"/>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1">
    <w:name w:val="Сетка таблицы31"/>
    <w:basedOn w:val="a7"/>
    <w:uiPriority w:val="59"/>
    <w:rsid w:val="009379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qFormat/>
    <w:rsid w:val="00333161"/>
    <w:pPr>
      <w:spacing w:after="0" w:line="240" w:lineRule="auto"/>
    </w:pPr>
    <w:rPr>
      <w:lang w:val="en-US"/>
    </w:rPr>
    <w:tblPr>
      <w:tblCellMar>
        <w:top w:w="0" w:type="dxa"/>
        <w:left w:w="0" w:type="dxa"/>
        <w:bottom w:w="0" w:type="dxa"/>
        <w:right w:w="0" w:type="dxa"/>
      </w:tblCellMar>
    </w:tblPr>
  </w:style>
  <w:style w:type="table" w:customStyle="1" w:styleId="affff2">
    <w:name w:val="Стиль Таблица Геоника"/>
    <w:basedOn w:val="a7"/>
    <w:uiPriority w:val="99"/>
    <w:rsid w:val="003f112f"/>
    <w:pPr>
      <w:spacing w:after="0" w:line="240" w:lineRule="auto"/>
    </w:pPr>
    <w:rPr>
      <w:lang w:eastAsia="ru-RU"/>
      <w:sz w:val="20"/>
      <w:szCs w:val="20"/>
    </w:rPr>
    <w:tblPr>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Pr>
    <w:tcPr>
      <w:shd w:val="clear" w:color="auto" w:fill="FFFFFF" w:themeFill="background1"/>
    </w:tcPr>
  </w:style>
  <w:style w:type="table" w:customStyle="1" w:styleId="TableNormal1">
    <w:name w:val="Table Normal1"/>
    <w:uiPriority w:val="2"/>
    <w:semiHidden/>
    <w:unhideWhenUsed/>
    <w:qFormat/>
    <w:rsid w:val="00390c8e"/>
    <w:pPr>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a6385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a63850"/>
    <w:pPr>
      <w:spacing w:after="0" w:line="240" w:lineRule="auto"/>
    </w:pPr>
    <w:rPr>
      <w:rFonts w:eastAsiaTheme="minorEastAsia"/>
      <w:lang w:eastAsia="ru-RU"/>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header" Target="header3.xml"/><Relationship Id="rId37" Type="http://schemas.openxmlformats.org/officeDocument/2006/relationships/footer" Target="footer3.xml"/><Relationship Id="rId38" Type="http://schemas.openxmlformats.org/officeDocument/2006/relationships/header" Target="header4.xml"/><Relationship Id="rId39" Type="http://schemas.openxmlformats.org/officeDocument/2006/relationships/footer" Target="footer4.xml"/><Relationship Id="rId40" Type="http://schemas.openxmlformats.org/officeDocument/2006/relationships/oleObject" Target="embeddings/oleObject1.bin"/><Relationship Id="rId41" Type="http://schemas.openxmlformats.org/officeDocument/2006/relationships/image" Target="media/image31.wmf"/><Relationship Id="rId42" Type="http://schemas.openxmlformats.org/officeDocument/2006/relationships/oleObject" Target="embeddings/oleObject2.bin"/><Relationship Id="rId43" Type="http://schemas.openxmlformats.org/officeDocument/2006/relationships/image" Target="media/image32.wmf"/><Relationship Id="rId44" Type="http://schemas.openxmlformats.org/officeDocument/2006/relationships/oleObject" Target="embeddings/oleObject3.bin"/><Relationship Id="rId45" Type="http://schemas.openxmlformats.org/officeDocument/2006/relationships/image" Target="media/image33.wmf"/><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header" Target="header6.xml"/><Relationship Id="rId49" Type="http://schemas.openxmlformats.org/officeDocument/2006/relationships/footer" Target="footer6.xml"/><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header" Target="header7.xml"/><Relationship Id="rId54" Type="http://schemas.openxmlformats.org/officeDocument/2006/relationships/footer" Target="footer7.xml"/><Relationship Id="rId55" Type="http://schemas.openxmlformats.org/officeDocument/2006/relationships/header" Target="header8.xml"/><Relationship Id="rId56" Type="http://schemas.openxmlformats.org/officeDocument/2006/relationships/footer" Target="footer8.xml"/><Relationship Id="rId57" Type="http://schemas.openxmlformats.org/officeDocument/2006/relationships/header" Target="header9.xml"/><Relationship Id="rId58" Type="http://schemas.openxmlformats.org/officeDocument/2006/relationships/footer" Target="footer9.xml"/><Relationship Id="rId59" Type="http://schemas.openxmlformats.org/officeDocument/2006/relationships/header" Target="header10.xml"/><Relationship Id="rId60" Type="http://schemas.openxmlformats.org/officeDocument/2006/relationships/footer" Target="footer10.xml"/><Relationship Id="rId61" Type="http://schemas.openxmlformats.org/officeDocument/2006/relationships/header" Target="header11.xml"/><Relationship Id="rId62" Type="http://schemas.openxmlformats.org/officeDocument/2006/relationships/header" Target="header12.xml"/><Relationship Id="rId63" Type="http://schemas.openxmlformats.org/officeDocument/2006/relationships/footer" Target="footer11.xml"/><Relationship Id="rId64" Type="http://schemas.openxmlformats.org/officeDocument/2006/relationships/header" Target="header13.xml"/><Relationship Id="rId65" Type="http://schemas.openxmlformats.org/officeDocument/2006/relationships/footer" Target="footer12.xml"/><Relationship Id="rId66" Type="http://schemas.openxmlformats.org/officeDocument/2006/relationships/header" Target="header14.xml"/><Relationship Id="rId67" Type="http://schemas.openxmlformats.org/officeDocument/2006/relationships/footer" Target="footer13.xml"/><Relationship Id="rId68" Type="http://schemas.openxmlformats.org/officeDocument/2006/relationships/header" Target="header15.xml"/><Relationship Id="rId69" Type="http://schemas.openxmlformats.org/officeDocument/2006/relationships/footer" Target="footer14.xml"/><Relationship Id="rId70" Type="http://schemas.openxmlformats.org/officeDocument/2006/relationships/header" Target="header16.xml"/><Relationship Id="rId71" Type="http://schemas.openxmlformats.org/officeDocument/2006/relationships/footer" Target="footer15.xml"/><Relationship Id="rId72" Type="http://schemas.openxmlformats.org/officeDocument/2006/relationships/numbering" Target="numbering.xml"/><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Relationship Id="rId76" Type="http://schemas.openxmlformats.org/officeDocument/2006/relationships/customXml" Target="../customXml/item1.xml"/><Relationship Id="rId77" Type="http://schemas.openxmlformats.org/officeDocument/2006/relationships/customXml" Target="../customXml/item2.xml"/><Relationship Id="rId78" Type="http://schemas.openxmlformats.org/officeDocument/2006/relationships/customXml" Target="../customXml/item3.xml"/><Relationship Id="rId79" Type="http://schemas.openxmlformats.org/officeDocument/2006/relationships/customXml" Target="../customXml/item4.xml"/><Relationship Id="rId80" Type="http://schemas.openxmlformats.org/officeDocument/2006/relationships/customXml" Target="../customXml/item5.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90D7C47-1116-43E3-A62C-D7E5B86F9B09}">
  <ds:schemaRefs>
    <ds:schemaRef ds:uri="http://schemas.openxmlformats.org/officeDocument/2006/bibliography"/>
  </ds:schemaRefs>
</ds:datastoreItem>
</file>

<file path=customXml/itemProps3.xml><?xml version="1.0" encoding="utf-8"?>
<ds:datastoreItem xmlns:ds="http://schemas.openxmlformats.org/officeDocument/2006/customXml" ds:itemID="{EAA19BEC-FCD8-4CCD-8997-D8AA590C0352}">
  <ds:schemaRefs>
    <ds:schemaRef ds:uri="http://schemas.openxmlformats.org/officeDocument/2006/bibliography"/>
  </ds:schemaRefs>
</ds:datastoreItem>
</file>

<file path=customXml/itemProps4.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5.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Application>LibreOffice/6.3.4.2$Windows_X86_64 LibreOffice_project/60da17e045e08f1793c57c00ba83cdfce946d0aa</Application>
  <Pages>302</Pages>
  <Words>21538</Words>
  <Characters>142170</Characters>
  <CharactersWithSpaces>155336</CharactersWithSpaces>
  <Paragraphs>8938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2019-03-18T09:29:00Z</dcterms:created>
  <dc:creator>Попов Александр Владимирович</dc:creator>
  <dc:description/>
  <dc:language>ru-RU</dc:language>
  <cp:lastModifiedBy/>
  <cp:lastPrinted>2020-10-07T15:06:44Z</cp:lastPrinted>
  <dcterms:modified xsi:type="dcterms:W3CDTF">2020-10-07T15:15:56Z</dcterms:modified>
  <cp:revision>167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ContentTypeId">
    <vt:lpwstr>0x010100207391071CB5034E9593D0C992FC1860</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