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Liberation Serif;Times New Roman" w:ascii="Liberation Serif;Times New Roman" w:hAnsi="Liberation Serif;Times New Roman"/>
          <w:b/>
          <w:bCs/>
          <w:sz w:val="28"/>
          <w:szCs w:val="28"/>
        </w:rPr>
        <w:br/>
        <w:t>АДМИНИСТРАЦИЯ КАМЫШЛОВСКОГО ГОРОДСКОГО ОКРУГА</w:t>
      </w:r>
    </w:p>
    <w:p>
      <w:pPr>
        <w:pStyle w:val="Style23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</w:rPr>
        <w:t>от 19.03.2020   № 187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Об утверждении перечня государственных и муниципальных услуг, предоставляемых через «Многофункциональный центр 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предоставления государственных и муниципальных услуг»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i/>
          <w:i/>
          <w:sz w:val="27"/>
        </w:rPr>
      </w:pPr>
      <w:bookmarkStart w:id="0" w:name="__DdeLink__11862_299829416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на территории Камышловского городского округа</w:t>
      </w:r>
      <w:bookmarkEnd w:id="0"/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7"/>
        </w:rPr>
      </w:pPr>
      <w:r>
        <w:rPr>
          <w:rFonts w:ascii="Liberation Serif" w:hAnsi="Liberation Serif"/>
          <w:sz w:val="27"/>
        </w:rPr>
      </w:r>
    </w:p>
    <w:p>
      <w:pPr>
        <w:pStyle w:val="211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hyperlink r:id="rId3">
        <w:r>
          <w:rPr>
            <w:rStyle w:val="Style"/>
            <w:rFonts w:ascii="Liberation Serif" w:hAnsi="Liberation Serif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услуг,</w:t>
        </w:r>
      </w:hyperlink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 25 сентября 2013 г.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7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ListParagraph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перечень государственных и муниципальных услуг,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 в новой редакции (прилагается).</w:t>
      </w:r>
    </w:p>
    <w:p>
      <w:pPr>
        <w:pStyle w:val="ListParagraph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 главы Камышловского городского округа от 12.05.2017 г. № 451 «Об утверждении перечня муниципальных услуг, предоставляемых через </w:t>
      </w:r>
      <w:r>
        <w:rPr>
          <w:rFonts w:ascii="Liberation Serif" w:hAnsi="Liberation Serif"/>
          <w:b w:val="false"/>
          <w:i w:val="false"/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услуг»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признать утратившим силу.</w:t>
      </w:r>
    </w:p>
    <w:p>
      <w:pPr>
        <w:pStyle w:val="ListParagraph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сети «Интернет».</w:t>
      </w:r>
    </w:p>
    <w:p>
      <w:pPr>
        <w:pStyle w:val="ListParagraph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ListParagraph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1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100" w:charSpace="4096"/>
        </w:sectPr>
        <w:pStyle w:val="ListParagraph1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ListParagraph1"/>
        <w:widowControl/>
        <w:bidi w:val="0"/>
        <w:spacing w:lineRule="auto" w:line="240" w:before="0" w:after="0"/>
        <w:ind w:left="0" w:right="0" w:firstLine="10431"/>
        <w:rPr>
          <w:rFonts w:ascii="Times New Roman" w:hAnsi="Times New Roman" w:eastAsia="Tahoma" w:cs="Arial"/>
          <w:b/>
          <w:b/>
          <w:bCs/>
          <w:color w:val="000000"/>
          <w:spacing w:val="0"/>
          <w:kern w:val="0"/>
          <w:sz w:val="26"/>
          <w:szCs w:val="20"/>
          <w:lang w:val="ru-RU" w:eastAsia="zh-CN" w:bidi="hi-IN"/>
        </w:rPr>
      </w:pPr>
      <w:r>
        <w:rPr>
          <w:rFonts w:eastAsia="Tahoma" w:cs="Arial" w:ascii="Times New Roman" w:hAnsi="Times New Roman"/>
          <w:b/>
          <w:bCs/>
          <w:color w:val="000000"/>
          <w:spacing w:val="0"/>
          <w:kern w:val="0"/>
          <w:sz w:val="26"/>
          <w:szCs w:val="20"/>
          <w:lang w:val="ru-RU" w:eastAsia="zh-CN" w:bidi="hi-IN"/>
        </w:rPr>
        <w:t>УТВЕРЖДЕН</w:t>
      </w:r>
    </w:p>
    <w:p>
      <w:pPr>
        <w:pStyle w:val="ListParagraph1"/>
        <w:widowControl/>
        <w:bidi w:val="0"/>
        <w:spacing w:lineRule="auto" w:line="240" w:before="0" w:after="0"/>
        <w:ind w:left="0" w:right="0" w:firstLine="1043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постановлением администрации</w:t>
      </w:r>
    </w:p>
    <w:p>
      <w:pPr>
        <w:pStyle w:val="ListParagraph1"/>
        <w:widowControl/>
        <w:bidi w:val="0"/>
        <w:spacing w:lineRule="auto" w:line="240" w:before="0" w:after="0"/>
        <w:ind w:left="0" w:right="0" w:firstLine="1043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Камышловского городского округа </w:t>
      </w:r>
    </w:p>
    <w:p>
      <w:pPr>
        <w:pStyle w:val="ListParagraph1"/>
        <w:widowControl/>
        <w:bidi w:val="0"/>
        <w:spacing w:lineRule="auto" w:line="240" w:before="0" w:after="0"/>
        <w:ind w:left="0" w:right="0" w:firstLine="10431"/>
        <w:rPr/>
      </w:pPr>
      <w:r>
        <w:rPr>
          <w:rFonts w:ascii="Times New Roman" w:hAnsi="Times New Roman"/>
          <w:sz w:val="26"/>
        </w:rPr>
        <w:t xml:space="preserve">от </w:t>
      </w:r>
      <w:r>
        <w:rPr>
          <w:rFonts w:eastAsia="Tahoma" w:cs="Arial" w:ascii="Times New Roman" w:hAnsi="Times New Roman"/>
          <w:color w:val="000000"/>
          <w:spacing w:val="0"/>
          <w:kern w:val="0"/>
          <w:sz w:val="26"/>
          <w:szCs w:val="20"/>
          <w:lang w:val="ru-RU" w:eastAsia="zh-CN" w:bidi="hi-IN"/>
        </w:rPr>
        <w:t xml:space="preserve">19.03.2020 </w:t>
      </w:r>
      <w:r>
        <w:rPr>
          <w:rFonts w:ascii="Times New Roman" w:hAnsi="Times New Roman"/>
          <w:sz w:val="26"/>
        </w:rPr>
        <w:t>№ 187</w:t>
      </w:r>
    </w:p>
    <w:p>
      <w:pPr>
        <w:pStyle w:val="ListParagraph1"/>
        <w:widowControl/>
        <w:bidi w:val="0"/>
        <w:spacing w:lineRule="auto" w:line="240" w:before="0" w:after="0"/>
        <w:ind w:left="0" w:right="0" w:firstLine="10431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ListParagraph1"/>
        <w:spacing w:before="0" w:afterAutospacing="1"/>
        <w:ind w:left="0" w:right="0" w:hanging="0"/>
        <w:contextualSpacing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Перечень государственных и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</w:t>
      </w:r>
    </w:p>
    <w:tbl>
      <w:tblPr>
        <w:tblStyle w:val="Style_3"/>
        <w:tblW w:w="14998" w:type="dxa"/>
        <w:jc w:val="left"/>
        <w:tblInd w:w="8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596"/>
        <w:gridCol w:w="4675"/>
      </w:tblGrid>
      <w:tr>
        <w:trPr>
          <w:trHeight w:val="675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 xml:space="preserve">№ </w:t>
            </w:r>
            <w:r>
              <w:rPr>
                <w:rFonts w:ascii="Liberation Serif" w:hAnsi="Liberation Serif"/>
                <w:b/>
                <w:sz w:val="26"/>
              </w:rPr>
              <w:t>п/п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Наименование услуги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Ответственный исполнитель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образования</w:t>
            </w:r>
          </w:p>
        </w:tc>
      </w:tr>
      <w:tr>
        <w:trPr>
          <w:trHeight w:val="58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1066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1066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z w:val="26"/>
              </w:rPr>
              <w:t>Зачисление в образовательное учреждение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315" w:hRule="atLeast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агропромышленного комплекса и продовольствия</w:t>
            </w:r>
          </w:p>
        </w:tc>
      </w:tr>
      <w:tr>
        <w:trPr>
          <w:trHeight w:val="985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3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разрешения на право организации розничных рынков на территории Камышловского городского округа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303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6.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Переоформление разрешения на право организации розничных рынков на территории Камышловского городского округа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13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7.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128" w:hRule="atLeast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социальной политики</w:t>
            </w:r>
          </w:p>
        </w:tc>
      </w:tr>
      <w:tr>
        <w:trPr>
          <w:trHeight w:val="556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8.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sz w:val="26"/>
              </w:rPr>
            </w:pPr>
            <w:r>
              <w:rPr>
                <w:rFonts w:ascii="Liberation Serif" w:hAnsi="Liberation Serif"/>
                <w:b w:val="false"/>
                <w:sz w:val="26"/>
              </w:rPr>
              <w:t>Предоставление гражданам субсидий на оплату жилого помещения и коммунальных услуг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4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</w:p>
        </w:tc>
      </w:tr>
      <w:tr>
        <w:trPr>
          <w:trHeight w:val="568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9.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sz w:val="26"/>
              </w:rPr>
            </w:pPr>
            <w:r>
              <w:rPr>
                <w:rFonts w:ascii="Liberation Serif" w:hAnsi="Liberation Serif"/>
                <w:b w:val="false"/>
                <w:sz w:val="26"/>
              </w:rPr>
              <w:t>Предоставление отдельным категориям граждан компенсаций расходов на оплату жилого помещения и коммунальных услуг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</w:p>
        </w:tc>
      </w:tr>
      <w:tr>
        <w:trPr>
          <w:trHeight w:val="453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10.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181" w:hRule="atLeast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муниципального имущества и земельных ресурсов</w:t>
            </w:r>
            <w:r>
              <w:rPr>
                <w:rFonts w:ascii="Liberation Serif" w:hAnsi="Liberation Serif"/>
                <w:sz w:val="26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11.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разрешений на установку и эксплуатацию рекламных конструкций на территории Камышловского городского округа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324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12.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762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13.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Предварительное согласование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Камышловского городского округа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7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14.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56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15.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42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16.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в аренду муниципального имущества, находящегося в собственности Камышловского городского округа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58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17.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748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18.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339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19.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Исключение жилых помещений из числа служебных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37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20.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814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21.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 xml:space="preserve"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городского округа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778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22.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в собственность, аренду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418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23.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713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24.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разрешения (ордера) на производство земляных работ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568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25.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highlight w:val="white"/>
              </w:rPr>
              <w:t>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722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26.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722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27.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highlight w:val="white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Комитет по управлению имуществом и земельным ресурсам администрации Камышловского городского округ</w:t>
            </w:r>
          </w:p>
        </w:tc>
      </w:tr>
      <w:tr>
        <w:trPr>
          <w:trHeight w:val="185" w:hRule="atLeast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строительства и развития инфраструктуры</w:t>
            </w:r>
          </w:p>
        </w:tc>
      </w:tr>
      <w:tr>
        <w:trPr>
          <w:trHeight w:val="459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28.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Приём заявлений, документов, а также постановка граждан на учёт в качестве нуждающихся в жилых помещениях, предоставляемых по договору социального найма на территории Камышловского городского округа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612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29.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341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30.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65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31.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градостроительных планов земельных участков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379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32.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391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33.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Присвоение адреса объекту недвижимости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701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34.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Предоставление сведений, документов и материалов, содержащихся в государственных системах обеспечения градостроительной деятельности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418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35.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713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36.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37.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58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38.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58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39.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58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40.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58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41.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 xml:space="preserve"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58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42.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pacing w:val="0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Принятие решения об утверждении документации по планировке территории на территории Камышловского городского округа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962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43.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Направление уведомления о планируемом сносе объекта капитального строительства, уведомления о завершении сноса объекта капитального строительства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58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44.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315" w:hRule="atLeast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транспорта и связи</w:t>
            </w:r>
          </w:p>
        </w:tc>
      </w:tr>
      <w:tr>
        <w:trPr>
          <w:trHeight w:val="71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45.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155" w:hRule="atLeast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обеспечения жильем молодых семей</w:t>
            </w:r>
          </w:p>
        </w:tc>
      </w:tr>
      <w:tr>
        <w:trPr>
          <w:trHeight w:val="28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46.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99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47.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Признание молодых семей участниками подпрограммы «Обеспечение жильем молодых семей» на территории Камышловского городского округа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594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48.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181" w:hRule="atLeast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архивного дела</w:t>
            </w:r>
          </w:p>
        </w:tc>
      </w:tr>
      <w:tr>
        <w:trPr>
          <w:trHeight w:val="20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49.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Организационный отдел администрации Камышловского городского округа</w:t>
            </w:r>
          </w:p>
        </w:tc>
      </w:tr>
      <w:tr>
        <w:trPr>
          <w:trHeight w:val="476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50.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Организационный отдел администрации Камышловского городского округа</w:t>
            </w:r>
          </w:p>
        </w:tc>
      </w:tr>
      <w:tr>
        <w:trPr>
          <w:trHeight w:val="134" w:hRule="atLeast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6"/>
              </w:rPr>
            </w:pPr>
            <w:r>
              <w:rPr>
                <w:rFonts w:ascii="Liberation Serif" w:hAnsi="Liberation Serif"/>
                <w:b/>
                <w:sz w:val="26"/>
              </w:rPr>
              <w:t>Услуги в сфере энергетики и жилищно-коммунального хозяйства</w:t>
            </w:r>
          </w:p>
        </w:tc>
      </w:tr>
      <w:tr>
        <w:trPr>
          <w:trHeight w:val="55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51.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419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52.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572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53.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443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54.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Принятие решения о переводе жилого помещения в нежилое и нежилого помещения в жилое помещение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596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55.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481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56.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492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57.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порубочного билета и (или) разрешения на пересадку деревьев и кустарников на территории КГО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sz w:val="26"/>
              </w:rPr>
              <w:t>Муниципальное казенное учреждение "Центр обеспечения деятельности администрации Камышловского городского округа"</w:t>
            </w:r>
            <w:r>
              <w:rPr>
                <w:rFonts w:ascii="Liberation Serif" w:hAnsi="Liberation Serif"/>
                <w:sz w:val="26"/>
              </w:rPr>
              <w:t>Камышловского городского округа»</w:t>
            </w:r>
          </w:p>
        </w:tc>
      </w:tr>
      <w:tr>
        <w:trPr>
          <w:trHeight w:val="363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58.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59.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  <w:tr>
        <w:trPr>
          <w:trHeight w:val="231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93" w:right="0" w:hanging="351"/>
              <w:contextualSpacing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60.</w:t>
            </w:r>
          </w:p>
        </w:tc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Включение жилых помещений в состав специализированного жилищного фонда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</w:rPr>
            </w:pPr>
            <w:r>
              <w:rPr>
                <w:rFonts w:ascii="Liberation Serif" w:hAnsi="Liberation Serif"/>
                <w:sz w:val="26"/>
              </w:rPr>
              <w:t>Главный специалист по учету и распределению жилья администрации Камышловского городского округа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4"/>
      <w:type w:val="nextPage"/>
      <w:pgSz w:w="16838" w:h="11906"/>
      <w:pgMar w:left="1134" w:right="1134" w:header="709" w:top="993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361.4pt;margin-top:0.05pt;width:5.65pt;height:13.3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b w:val="false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Arial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15_ch"/>
    <w:uiPriority w:val="9"/>
    <w:qFormat/>
    <w:pPr>
      <w:widowControl/>
      <w:bidi w:val="0"/>
      <w:spacing w:lineRule="auto" w:line="276" w:before="120" w:after="120"/>
      <w:ind w:left="0" w:right="0" w:hanging="0"/>
      <w:jc w:val="left"/>
      <w:outlineLvl w:val="0"/>
    </w:pPr>
    <w:rPr>
      <w:rFonts w:ascii="XO Thames" w:hAnsi="XO Thames" w:eastAsia="Tahoma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9_ch"/>
    <w:uiPriority w:val="9"/>
    <w:qFormat/>
    <w:pPr>
      <w:widowControl/>
      <w:bidi w:val="0"/>
      <w:spacing w:lineRule="auto" w:line="276" w:before="120" w:after="120"/>
      <w:ind w:left="0" w:right="0" w:hanging="0"/>
      <w:jc w:val="left"/>
      <w:outlineLvl w:val="1"/>
    </w:pPr>
    <w:rPr>
      <w:rFonts w:ascii="XO Thames" w:hAnsi="XO Thames" w:eastAsia="Tahoma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9_ch"/>
    <w:uiPriority w:val="9"/>
    <w:qFormat/>
    <w:pPr>
      <w:widowControl/>
      <w:bidi w:val="0"/>
      <w:spacing w:lineRule="auto" w:line="276" w:before="0" w:after="200"/>
      <w:ind w:left="0" w:right="0" w:hanging="0"/>
      <w:jc w:val="left"/>
      <w:outlineLvl w:val="2"/>
    </w:pPr>
    <w:rPr>
      <w:rFonts w:ascii="XO Thames" w:hAnsi="XO Thames" w:eastAsia="Tahoma" w:cs="Arial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link w:val="Style_28_ch"/>
    <w:uiPriority w:val="9"/>
    <w:qFormat/>
    <w:pPr>
      <w:widowControl/>
      <w:bidi w:val="0"/>
      <w:spacing w:lineRule="auto" w:line="276" w:before="120" w:after="120"/>
      <w:ind w:left="0" w:right="0" w:hanging="0"/>
      <w:jc w:val="left"/>
      <w:outlineLvl w:val="3"/>
    </w:pPr>
    <w:rPr>
      <w:rFonts w:ascii="XO Thames" w:hAnsi="XO Thames" w:eastAsia="Tahoma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4_ch"/>
    <w:uiPriority w:val="9"/>
    <w:qFormat/>
    <w:pPr>
      <w:widowControl/>
      <w:bidi w:val="0"/>
      <w:spacing w:lineRule="auto" w:line="276" w:before="120" w:after="120"/>
      <w:ind w:left="0" w:right="0" w:hanging="0"/>
      <w:jc w:val="left"/>
      <w:outlineLvl w:val="4"/>
    </w:pPr>
    <w:rPr>
      <w:rFonts w:ascii="XO Thames" w:hAnsi="XO Thames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21">
    <w:name w:val="Основной текст 21"/>
    <w:link w:val="Style_1"/>
    <w:qFormat/>
    <w:rPr>
      <w:rFonts w:ascii="Times New Roman" w:hAnsi="Times New Roman"/>
      <w:sz w:val="28"/>
    </w:rPr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Textbody">
    <w:name w:val="Text body"/>
    <w:link w:val="Style_10"/>
    <w:qFormat/>
    <w:rPr>
      <w:rFonts w:ascii="Times New Roman" w:hAnsi="Times New Roman"/>
      <w:sz w:val="24"/>
    </w:rPr>
  </w:style>
  <w:style w:type="character" w:styleId="BalloonText">
    <w:name w:val="Balloon Text"/>
    <w:link w:val="Style_11"/>
    <w:qFormat/>
    <w:rPr>
      <w:rFonts w:ascii="Tahoma" w:hAnsi="Tahoma"/>
      <w:sz w:val="16"/>
    </w:rPr>
  </w:style>
  <w:style w:type="character" w:styleId="Contents3">
    <w:name w:val="Contents 3"/>
    <w:link w:val="Style_12"/>
    <w:qFormat/>
    <w:rPr/>
  </w:style>
  <w:style w:type="character" w:styleId="Style9">
    <w:name w:val=" Знак"/>
    <w:link w:val="Style_13"/>
    <w:qFormat/>
    <w:rPr>
      <w:rFonts w:ascii="Verdana" w:hAnsi="Verdana"/>
      <w:sz w:val="20"/>
    </w:rPr>
  </w:style>
  <w:style w:type="character" w:styleId="Heading5">
    <w:name w:val="Heading 5"/>
    <w:link w:val="Style_14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5"/>
    <w:qFormat/>
    <w:rPr>
      <w:rFonts w:ascii="XO Thames" w:hAnsi="XO Thames"/>
      <w:b/>
      <w:sz w:val="32"/>
    </w:rPr>
  </w:style>
  <w:style w:type="character" w:styleId="41">
    <w:name w:val="Основной текст4"/>
    <w:link w:val="Style_16"/>
    <w:qFormat/>
    <w:rPr>
      <w:sz w:val="27"/>
    </w:rPr>
  </w:style>
  <w:style w:type="character" w:styleId="DefaultParagraphFont">
    <w:name w:val="Default Paragraph Font"/>
    <w:link w:val="Style_17"/>
    <w:qFormat/>
    <w:rPr/>
  </w:style>
  <w:style w:type="character" w:styleId="Style10">
    <w:name w:val="Интернет-ссылка"/>
    <w:link w:val="Style_18"/>
    <w:rPr>
      <w:color w:val="0000FF"/>
      <w:u w:val="single"/>
    </w:rPr>
  </w:style>
  <w:style w:type="character" w:styleId="Footnote">
    <w:name w:val="Footnote"/>
    <w:link w:val="Style_19"/>
    <w:qFormat/>
    <w:rPr>
      <w:rFonts w:ascii="XO Thames" w:hAnsi="XO Thames"/>
      <w:sz w:val="22"/>
    </w:rPr>
  </w:style>
  <w:style w:type="character" w:styleId="Contents1">
    <w:name w:val="Contents 1"/>
    <w:link w:val="Style_20"/>
    <w:qFormat/>
    <w:rPr>
      <w:rFonts w:ascii="XO Thames" w:hAnsi="XO Thames"/>
      <w:b/>
    </w:rPr>
  </w:style>
  <w:style w:type="character" w:styleId="HeaderandFooter">
    <w:name w:val="Header and Footer"/>
    <w:link w:val="Style_21"/>
    <w:qFormat/>
    <w:rPr>
      <w:rFonts w:ascii="XO Thames" w:hAnsi="XO Thames"/>
      <w:sz w:val="20"/>
    </w:rPr>
  </w:style>
  <w:style w:type="character" w:styleId="Contents9">
    <w:name w:val="Contents 9"/>
    <w:link w:val="Style_22"/>
    <w:qFormat/>
    <w:rPr/>
  </w:style>
  <w:style w:type="character" w:styleId="Contents8">
    <w:name w:val="Contents 8"/>
    <w:link w:val="Style_23"/>
    <w:qFormat/>
    <w:rPr/>
  </w:style>
  <w:style w:type="character" w:styleId="Contents5">
    <w:name w:val="Contents 5"/>
    <w:link w:val="Style_24"/>
    <w:qFormat/>
    <w:rPr/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ListParagraph">
    <w:name w:val="List Paragraph"/>
    <w:link w:val="Style_2"/>
    <w:qFormat/>
    <w:rPr/>
  </w:style>
  <w:style w:type="character" w:styleId="Toc10">
    <w:name w:val="toc 10"/>
    <w:link w:val="Style_26"/>
    <w:qFormat/>
    <w:rPr/>
  </w:style>
  <w:style w:type="character" w:styleId="Title">
    <w:name w:val="Title"/>
    <w:link w:val="Style_27"/>
    <w:qFormat/>
    <w:rPr>
      <w:rFonts w:ascii="Times New Roman" w:hAnsi="Times New Roman"/>
      <w:b/>
      <w:sz w:val="24"/>
    </w:rPr>
  </w:style>
  <w:style w:type="character" w:styleId="Heading4">
    <w:name w:val="Heading 4"/>
    <w:link w:val="Style_28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9"/>
    <w:qFormat/>
    <w:rPr>
      <w:rFonts w:ascii="XO Thames" w:hAnsi="XO Thames"/>
      <w:b/>
      <w:color w:val="00A0FF"/>
      <w:sz w:val="26"/>
    </w:rPr>
  </w:style>
  <w:style w:type="character" w:styleId="Style11">
    <w:name w:val="Основной шрифт абзаца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3">
    <w:name w:val="Body Text"/>
    <w:basedOn w:val="Normal"/>
    <w:link w:val="Style_10_ch"/>
    <w:pPr>
      <w:spacing w:lineRule="auto" w:line="240" w:before="0" w:after="0"/>
      <w:jc w:val="both"/>
    </w:pPr>
    <w:rPr>
      <w:rFonts w:ascii="Times New Roman" w:hAnsi="Times New Roman"/>
      <w:sz w:val="24"/>
    </w:rPr>
  </w:style>
  <w:style w:type="paragraph" w:styleId="Style14">
    <w:name w:val="List"/>
    <w:basedOn w:val="Style13"/>
    <w:pPr/>
    <w:rPr>
      <w:rFonts w:ascii="Times New Roman" w:hAnsi="Times New Roman"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22">
    <w:name w:val="TOC 2"/>
    <w:next w:val="Normal"/>
    <w:link w:val="Style_5_ch"/>
    <w:uiPriority w:val="39"/>
    <w:pPr>
      <w:widowControl/>
      <w:bidi w:val="0"/>
      <w:spacing w:lineRule="auto" w:line="276" w:before="0" w:after="200"/>
      <w:ind w:left="2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2">
    <w:name w:val="TOC 4"/>
    <w:next w:val="Normal"/>
    <w:link w:val="Style_6_ch"/>
    <w:uiPriority w:val="39"/>
    <w:pPr>
      <w:widowControl/>
      <w:bidi w:val="0"/>
      <w:spacing w:lineRule="auto" w:line="276" w:before="0" w:after="200"/>
      <w:ind w:left="6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bidi w:val="0"/>
      <w:spacing w:lineRule="auto" w:line="276" w:before="0" w:after="200"/>
      <w:ind w:left="10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bidi w:val="0"/>
      <w:spacing w:lineRule="auto" w:line="276" w:before="0" w:after="200"/>
      <w:ind w:left="12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11">
    <w:name w:val="Основной текст 21"/>
    <w:basedOn w:val="Normal"/>
    <w:link w:val="Style_1_ch"/>
    <w:qFormat/>
    <w:pPr>
      <w:spacing w:lineRule="auto" w:line="240" w:before="0" w:after="0"/>
      <w:ind w:left="0" w:right="4535" w:hanging="0"/>
    </w:pPr>
    <w:rPr>
      <w:rFonts w:ascii="Times New Roman" w:hAnsi="Times New Roman"/>
      <w:sz w:val="28"/>
    </w:rPr>
  </w:style>
  <w:style w:type="paragraph" w:styleId="BalloonText1">
    <w:name w:val="Balloon Text"/>
    <w:basedOn w:val="Normal"/>
    <w:link w:val="Style_11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31">
    <w:name w:val="TOC 3"/>
    <w:next w:val="Normal"/>
    <w:link w:val="Style_12_ch"/>
    <w:uiPriority w:val="39"/>
    <w:pPr>
      <w:widowControl/>
      <w:bidi w:val="0"/>
      <w:spacing w:lineRule="auto" w:line="276" w:before="0" w:after="200"/>
      <w:ind w:left="4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7">
    <w:name w:val=" Знак"/>
    <w:basedOn w:val="Normal"/>
    <w:link w:val="Style_13_ch"/>
    <w:qFormat/>
    <w:pPr>
      <w:spacing w:lineRule="auto" w:line="240" w:before="0" w:after="0"/>
    </w:pPr>
    <w:rPr>
      <w:rFonts w:ascii="Verdana" w:hAnsi="Verdana"/>
      <w:sz w:val="20"/>
    </w:rPr>
  </w:style>
  <w:style w:type="paragraph" w:styleId="43">
    <w:name w:val="Основной текст4"/>
    <w:basedOn w:val="Normal"/>
    <w:link w:val="Style_16_ch"/>
    <w:qFormat/>
    <w:pPr>
      <w:spacing w:lineRule="exact" w:line="322" w:before="300" w:after="180"/>
      <w:ind w:left="0" w:right="0" w:hanging="1540"/>
      <w:jc w:val="both"/>
    </w:pPr>
    <w:rPr>
      <w:sz w:val="27"/>
    </w:rPr>
  </w:style>
  <w:style w:type="paragraph" w:styleId="DefaultParagraphFont1">
    <w:name w:val="Default Paragraph Font"/>
    <w:link w:val="Style_17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link w:val="Style_18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19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0_ch"/>
    <w:uiPriority w:val="39"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Верхний и нижний колонтитулы"/>
    <w:link w:val="Style_21_ch"/>
    <w:qFormat/>
    <w:pPr>
      <w:widowControl/>
      <w:bidi w:val="0"/>
      <w:spacing w:lineRule="auto" w:line="360" w:before="0" w:after="200"/>
      <w:ind w:left="0" w:right="0" w:hanging="0"/>
      <w:jc w:val="left"/>
    </w:pPr>
    <w:rPr>
      <w:rFonts w:ascii="XO Thames" w:hAnsi="XO Thames" w:eastAsia="Tahoma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2_ch"/>
    <w:uiPriority w:val="39"/>
    <w:pPr>
      <w:widowControl/>
      <w:bidi w:val="0"/>
      <w:spacing w:lineRule="auto" w:line="276" w:before="0" w:after="200"/>
      <w:ind w:left="16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link w:val="Style_23_ch"/>
    <w:uiPriority w:val="39"/>
    <w:pPr>
      <w:widowControl/>
      <w:bidi w:val="0"/>
      <w:spacing w:lineRule="auto" w:line="276" w:before="0" w:after="200"/>
      <w:ind w:left="14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4_ch"/>
    <w:uiPriority w:val="39"/>
    <w:pPr>
      <w:widowControl/>
      <w:bidi w:val="0"/>
      <w:spacing w:lineRule="auto" w:line="276" w:before="0" w:after="200"/>
      <w:ind w:left="8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9">
    <w:name w:val="Subtitle"/>
    <w:next w:val="Normal"/>
    <w:link w:val="Style_25_ch"/>
    <w:uiPriority w:val="11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link w:val="Style_2_ch"/>
    <w:qFormat/>
    <w:pPr>
      <w:spacing w:before="0" w:after="200"/>
      <w:ind w:left="720" w:right="0" w:hanging="0"/>
      <w:contextualSpacing/>
    </w:pPr>
    <w:rPr/>
  </w:style>
  <w:style w:type="paragraph" w:styleId="Toc101">
    <w:name w:val="toc 10"/>
    <w:next w:val="Normal"/>
    <w:link w:val="Style_26_ch"/>
    <w:uiPriority w:val="39"/>
    <w:qFormat/>
    <w:pPr>
      <w:widowControl/>
      <w:bidi w:val="0"/>
      <w:spacing w:lineRule="auto" w:line="276" w:before="0" w:after="200"/>
      <w:ind w:left="18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0">
    <w:name w:val="Title"/>
    <w:basedOn w:val="Normal"/>
    <w:link w:val="Style_27_ch"/>
    <w:uiPriority w:val="10"/>
    <w:qFormat/>
    <w:pPr>
      <w:spacing w:lineRule="auto" w:line="240" w:before="0" w:after="0"/>
      <w:jc w:val="center"/>
    </w:pPr>
    <w:rPr>
      <w:rFonts w:ascii="Times New Roman" w:hAnsi="Times New Roman"/>
      <w:b/>
      <w:sz w:val="24"/>
    </w:rPr>
  </w:style>
  <w:style w:type="paragraph" w:styleId="Style21">
    <w:name w:val="Header"/>
    <w:basedOn w:val="Style18"/>
    <w:pPr/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Обычный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ahoma" w:cs="Arial"/>
      <w:color w:val="auto"/>
      <w:kern w:val="2"/>
      <w:sz w:val="20"/>
      <w:szCs w:val="20"/>
      <w:lang w:val="ru-RU" w:eastAsia="ru-RU" w:bidi="hi-IN"/>
    </w:rPr>
  </w:style>
  <w:style w:type="table" w:styleId="Style_30">
    <w:name w:val="Table Grid"/>
    <w:basedOn w:val="Style_3"/>
    <w:pPr>
      <w:spacing w:after="0" w:line="240" w:lineRule="auto"/>
    </w:pPr>
    <w:tblPr>
      <w:tblInd w:w="0" w:type="dxa"/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  <w:insideV w:val="single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Style_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ocs.cntd.ru/document/902228011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LibreOffice/6.3.4.2$Windows_X86_64 LibreOffice_project/60da17e045e08f1793c57c00ba83cdfce946d0aa</Application>
  <Pages>6</Pages>
  <Words>1955</Words>
  <Characters>15677</Characters>
  <CharactersWithSpaces>17468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2020-03-19T16:04:19Z</cp:lastPrinted>
  <dcterms:modified xsi:type="dcterms:W3CDTF">2020-03-19T16:05:42Z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