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>
          <w:rStyle w:val="Style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3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b/>
          <w:sz w:val="28"/>
        </w:rPr>
        <w:t xml:space="preserve">от </w:t>
      </w:r>
      <w:r>
        <w:rPr>
          <w:rStyle w:val="Style5"/>
          <w:rFonts w:ascii="Liberation Serif" w:hAnsi="Liberation Serif"/>
          <w:b/>
          <w:sz w:val="28"/>
          <w:szCs w:val="24"/>
        </w:rPr>
        <w:t>28.01.</w:t>
      </w:r>
      <w:r>
        <w:rPr>
          <w:rStyle w:val="Style5"/>
          <w:rFonts w:ascii="Liberation Serif" w:hAnsi="Liberation Serif"/>
          <w:b/>
          <w:sz w:val="28"/>
        </w:rPr>
        <w:t xml:space="preserve">2022 N </w:t>
      </w:r>
      <w:r>
        <w:rPr>
          <w:rStyle w:val="Style5"/>
          <w:rFonts w:ascii="Liberation Serif" w:hAnsi="Liberation Serif"/>
          <w:b/>
          <w:sz w:val="28"/>
        </w:rPr>
        <w:t>69</w:t>
      </w:r>
    </w:p>
    <w:p>
      <w:pPr>
        <w:pStyle w:val="Style1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Московская, дом 16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Постановлением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Московская, дом 16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66:46:0103001:2830, общей площадью 1037,00 кв.м. расположенный по адресу: Российская Федерация, Свердловская область, Камышловский городской округ, город Камышлов, улица Московская, земельный участок №16, 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 в жилом доме по адресу: Свердловская область, город Камышлов, улица Московская, дом 16, с кадастровым номером 66:46:0103001:1425, общей площадью 33,1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№2 в жилом доме по адресу: Свердловская область, город Камышлов, улица Московская, дом 16, с кадастровым номером 66:46:0103001:2026, общей площадью 44,4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№3 в жилом доме по адресу: Свердловская область, город Камышлов, улица Московская, дом 16, с кадастровым номером 66:46:0103001:1987, общей площадью 30,2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№4 в жилом доме по адресу: Свердловская область, город Камышлов, улица Московская, дом 16, с кадастровым номером 66:46:0103001:2289, общей площадью 36,1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№5 в жилом доме по адресу: Свердловская область, город Камышлов, улица Московская, дом 16, с кадастровым номером 66:46:0103001:1985, общей площадью 44,3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№6 в жилом доме по адресу: Свердловская область, город Камышлов, улица Московская, дом 16, с кадастровым номером 66:46:0103001:2174, общей площадью 31,9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№7 в жилом доме по адресу: Свердловская область, город Камышлов, улица Московская, дом 16, с кадастровым номером 66:46:0103001:1986, общей площадью 40,6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№8 в жилом доме по адресу: Свердловская область, город Камышлов, улица Московская, дом 16, с кадастровым номером 66:46:0103001:2058, общей площадью 36,1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№9 в жилом доме по адресу: Свердловская область, город Камышлов, улица Московская, дом 16, с кадастровым номером 66:46:0103001:1976, общей площадью 36,3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№10 в жилом доме по адресу: Свердловская область, город Камышлов, улица Московская, дом 16, с кадастровым номером 66:46:0103001:2177, общей площадью 41,5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№11 в жилом доме по адресу: Свердловская область, город Камышлов, улица Московская, дом 16, с кадастровым номером 66:46:0103001:1993, общей площадью 36,1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№12 в жилом доме по адресу: Свердловская область, город Камышлов, улица Московская, дом 16, с кадастровым номером 66:46:0103001:1984, общей площадью 37,4 кв.м.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Отделу жилищно-коммунального хозяйства администрации Камышловского городского округа (Семеновой Л.А.) провести мероприятия по определению размера возмещения за изымаемое имущество.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3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3</Pages>
  <Words>616</Words>
  <Characters>4296</Characters>
  <CharactersWithSpaces>4926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2022-01-24T10:58:00Z</dcterms:created>
  <dc:creator>Архитектура</dc:creator>
  <dc:description/>
  <dc:language>ru-RU</dc:language>
  <cp:lastModifiedBy/>
  <cp:lastPrinted>2022-01-31T08:40:38Z</cp:lastPrinted>
  <dcterms:modified xsi:type="dcterms:W3CDTF">2022-01-31T08:42:35Z</dcterms:modified>
  <cp:revision>5</cp:revision>
  <dc:subject/>
  <dc:title>Градостроительный план земельного участка</dc:title>
</cp:coreProperties>
</file>