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120" w:after="120"/>
        <w:jc w:val="center"/>
        <w:rPr/>
      </w:pPr>
      <w:r>
        <w:rPr>
          <w:rStyle w:val="Style15"/>
          <w:sz w:val="28"/>
          <w:szCs w:val="28"/>
          <w:lang w:val="ru-RU" w:eastAsia="ru-RU" w:bidi="ar-SA"/>
        </w:rPr>
        <w:t xml:space="preserve"> </w:t>
      </w:r>
      <w:r>
        <w:rPr/>
        <w:drawing>
          <wp:inline distT="0" distB="0" distL="0" distR="0">
            <wp:extent cx="478790" cy="7410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rStyle w:val="Style15"/>
          <w:rFonts w:eastAsia="Liberation Serif;Times New Roman"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Style w:val="Style15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от 23.06.2022 N 531</w:t>
      </w:r>
    </w:p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tbl>
      <w:tblPr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1130" w:hRule="atLeast"/>
        </w:trPr>
        <w:tc>
          <w:tcPr>
            <w:tcW w:w="949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О внесении изменений в перечень </w:t>
            </w:r>
            <w:r>
              <w:rPr>
                <w:rFonts w:cs="Arial" w:ascii="Liberation Serif" w:hAnsi="Liberation Serif"/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 Камышловского городского округа, утвержденный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постановлением администрации Камышловского городского округа от 22.12.2021 № 973 «Об утверждении</w:t>
            </w:r>
            <w:r>
              <w:rPr>
                <w:rFonts w:cs="Arial"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Arial" w:ascii="Liberation Serif" w:hAnsi="Liberation Serif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 xml:space="preserve">Приказом Минфина России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>
        <w:rPr>
          <w:rFonts w:cs="Arial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cs="Arial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Внести изменения в Перечень</w:t>
      </w:r>
      <w:r>
        <w:rPr>
          <w:rFonts w:cs="Arial"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  <w:r>
        <w:rPr>
          <w:rFonts w:cs="Liberation Serif"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 22.12.2021 № 973 «Об утверждении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  <w:r>
        <w:rPr>
          <w:rFonts w:cs="Liberation Serif" w:ascii="Liberation Serif" w:hAnsi="Liberation Serif"/>
          <w:sz w:val="28"/>
          <w:szCs w:val="28"/>
        </w:rPr>
        <w:t>, изложив его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применяется к правоотношениям, возникшим с  01.01.2022 года.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Настоящее постановление разместить на официальном сайте администрации Камышловского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567" w:leader="none"/>
        </w:tabs>
        <w:ind w:left="0" w:firstLine="709"/>
        <w:jc w:val="both"/>
        <w:rPr/>
      </w:pPr>
      <w:r>
        <w:rPr>
          <w:rFonts w:cs="Times New Roman CYR"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Камышловского городского округа                              </w:t>
        <w:tab/>
        <w:t xml:space="preserve">                 А.В. Половников</w:t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25" w:leader="none"/>
        </w:tabs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>Приложение 1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 xml:space="preserve">к постановлению </w:t>
      </w:r>
      <w:r>
        <w:rPr>
          <w:rFonts w:cs="Calibri"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от 23.06.2022 г. N 531</w:t>
      </w:r>
    </w:p>
    <w:p>
      <w:pPr>
        <w:pStyle w:val="Normal"/>
        <w:ind w:firstLine="709"/>
        <w:jc w:val="right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tbl>
      <w:tblPr>
        <w:tblW w:w="947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1526"/>
        <w:gridCol w:w="2361"/>
        <w:gridCol w:w="4835"/>
      </w:tblGrid>
      <w:tr>
        <w:trPr>
          <w:trHeight w:val="1125" w:hRule="atLeast"/>
        </w:trPr>
        <w:tc>
          <w:tcPr>
            <w:tcW w:w="947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>Перечень главных администраторов доходов бюджета Камышловского городского округа</w:t>
            </w:r>
          </w:p>
        </w:tc>
      </w:tr>
      <w:tr>
        <w:trPr>
          <w:trHeight w:val="525" w:hRule="atLeast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>
        <w:trPr>
          <w:trHeight w:val="765" w:hRule="atLeast"/>
        </w:trPr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3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4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">
              <w:r>
                <w:rPr>
                  <w:rFonts w:eastAsia="Calibri" w:cs="Arial" w:ascii="Liberation Serif" w:hAnsi="Liberation Serif" w:eastAsiaTheme="minorHAnsi"/>
                  <w:sz w:val="22"/>
                  <w:szCs w:val="22"/>
                  <w:lang w:eastAsia="en-US"/>
                </w:rPr>
                <w:t>главой 19</w:t>
              </w:r>
            </w:hyperlink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</w:t>
            </w:r>
          </w:p>
        </w:tc>
      </w:tr>
      <w:tr>
        <w:trPr>
          <w:trHeight w:val="15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6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Администрация Восточного управленческого округа Свердловской области</w:t>
            </w:r>
          </w:p>
        </w:tc>
      </w:tr>
      <w:tr>
        <w:trPr>
          <w:trHeight w:val="15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</w:t>
            </w: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по ветеринарному и фитосанитарному надзору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Свердловской области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 Федеральной налоговой службы по Свердловской области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1 01 02090 01 0000 110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1 11 05027 04 0000 120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1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6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57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23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71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e49ca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5E5269B1F03B497A343B5A75E2CB2513C30F22471D9E40206290DAE601CA5C3705A5B5ECA76D8CF8947D96A76E0B0DA08454C30ECD8216Ci3r0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LibreOffice/7.0.6.2$Linux_X86_64 LibreOffice_project/00$Build-2</Application>
  <AppVersion>15.0000</AppVersion>
  <Pages>10</Pages>
  <Words>4992</Words>
  <Characters>32634</Characters>
  <CharactersWithSpaces>37009</CharactersWithSpaces>
  <Paragraphs>666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Спиридонова</dc:creator>
  <dc:description/>
  <dc:language>ru-RU</dc:language>
  <cp:lastModifiedBy/>
  <cp:lastPrinted>2022-06-27T13:30:36Z</cp:lastPrinted>
  <dcterms:modified xsi:type="dcterms:W3CDTF">2022-06-27T13:33:08Z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