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ind w:right="23" w:hanging="0"/>
        <w:jc w:val="both"/>
        <w:rPr>
          <w:rFonts w:ascii="Liberation Serif" w:hAnsi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03.06.2019 </w:t>
      </w: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 N </w:t>
      </w: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514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color w:val="000000"/>
        </w:rPr>
      </w:pPr>
      <w:r>
        <w:rPr>
          <w:i w:val="false"/>
          <w:iCs w:val="false"/>
        </w:rPr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color w:val="000000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color w:val="000000"/>
        </w:rPr>
      </w:pPr>
      <w:bookmarkStart w:id="0" w:name="__DdeLink__11927_3901875698"/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 xml:space="preserve">Об утверждении Порядка начисления, сбора, учета средств, поступающих от населения в качестве платы за пользованием жилым помещением (плата за наем)  в муниципальном жилищном фонде </w:t>
      </w:r>
    </w:p>
    <w:p>
      <w:pPr>
        <w:pStyle w:val="Bodytext31"/>
        <w:shd w:val="clear" w:fill="FFFFFF"/>
        <w:spacing w:lineRule="auto" w:line="240" w:before="0" w:after="0"/>
        <w:ind w:right="23" w:hanging="0"/>
        <w:rPr/>
      </w:pPr>
      <w:bookmarkStart w:id="1" w:name="__DdeLink__11927_3901875698"/>
      <w:r>
        <w:rPr>
          <w:rStyle w:val="Style13"/>
          <w:rFonts w:ascii="Liberation Serif" w:hAnsi="Liberation Serif"/>
          <w:i w:val="false"/>
          <w:iCs w:val="false"/>
          <w:color w:val="000000"/>
          <w:sz w:val="28"/>
          <w:szCs w:val="28"/>
        </w:rPr>
        <w:t xml:space="preserve">Камышловского городского округа </w:t>
      </w:r>
      <w:bookmarkEnd w:id="1"/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</w:r>
    </w:p>
    <w:p>
      <w:pPr>
        <w:pStyle w:val="1"/>
        <w:shd w:val="clear" w:fill="FFFFFF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 Бюджетным </w:t>
      </w:r>
      <w:hyperlink r:id="rId3" w:tgtFrame="_top">
        <w:r>
          <w:rPr>
            <w:rStyle w:val="Style13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Российской Федерации, частью 9 статьи 156 и частью 14 статьи 155 Жилищного кодекса Российской Федерации, </w:t>
      </w:r>
      <w:hyperlink r:id="rId4" w:tgtFrame="_top">
        <w:r>
          <w:rPr>
            <w:rStyle w:val="Style13"/>
            <w:rFonts w:ascii="Liberation Serif" w:hAnsi="Liberation Serif"/>
            <w:color w:val="000000"/>
            <w:sz w:val="28"/>
            <w:szCs w:val="28"/>
          </w:rPr>
          <w:t>статьей 16</w:t>
        </w:r>
      </w:hyperlink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Федерального </w:t>
      </w:r>
      <w:hyperlink r:id="rId5" w:tgtFrame="_top">
        <w:r>
          <w:rPr>
            <w:rStyle w:val="Style13"/>
            <w:rFonts w:ascii="Liberation Serif" w:hAnsi="Liberation Serif"/>
            <w:sz w:val="28"/>
            <w:szCs w:val="28"/>
          </w:rPr>
          <w:t>закон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а от 06 октября 2003 года № 131-ФЗ «Об общих принципах организации местного самоуправления в Российской Федерации»,   </w:t>
      </w:r>
      <w:hyperlink r:id="rId6" w:tgtFrame="_top">
        <w:r>
          <w:rPr>
            <w:rStyle w:val="Style13"/>
            <w:rFonts w:ascii="Liberation Serif" w:hAnsi="Liberation Serif"/>
            <w:sz w:val="28"/>
            <w:szCs w:val="28"/>
          </w:rPr>
          <w:t>Уставом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Камышловского городского округа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, администрация Камышловского городского округа</w:t>
      </w:r>
    </w:p>
    <w:p>
      <w:pPr>
        <w:pStyle w:val="1"/>
        <w:shd w:val="clear" w:fill="FFFFFF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3"/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1. </w:t>
      </w:r>
      <w:r>
        <w:rPr>
          <w:rStyle w:val="Style13"/>
          <w:rFonts w:eastAsia="Times New Roman"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Утвердить «</w:t>
      </w:r>
      <w:r>
        <w:rPr>
          <w:rStyle w:val="Style13"/>
          <w:rFonts w:ascii="Liberation Serif" w:hAnsi="Liberation Serif"/>
          <w:sz w:val="28"/>
          <w:szCs w:val="28"/>
        </w:rPr>
        <w:t>Порядок начисления, сбора, учета средств, поступающих от населения в качестве платы за пользованием жилым помещением (плата за наем) в муниципальном жилищном фонде Камышловского городского округа» (прилагается).</w:t>
      </w:r>
    </w:p>
    <w:p>
      <w:pPr>
        <w:pStyle w:val="Style29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Определить уполномоченное учреждение по начислению и учету средств, поступающих от населения в качестве платы за пользованием жилым помещением (плата за наем) в муниципальном жилищном фонде Камышловского городского округа - Муниципальное казенное учреждение «Центр обеспечения деятельности администрации Камышловского городского округа» (далее – Уполномоченное учреждение).</w:t>
      </w:r>
    </w:p>
    <w:p>
      <w:pPr>
        <w:pStyle w:val="Style29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Уполномоченное учреждение обеспечивает:</w:t>
      </w:r>
    </w:p>
    <w:p>
      <w:pPr>
        <w:pStyle w:val="Style29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начисление и учет средств за пользование жилым помещением (платы за наем) в муниципальном жилищном фонде Камышловского городского округа, в том числе, начисление пени за несвоевременно (или) не полностью внесенную плату в порядке, установленном частью 14 статьи 155 Жилищного кодекса РФ;</w:t>
      </w:r>
    </w:p>
    <w:p>
      <w:pPr>
        <w:pStyle w:val="Style29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своевременную доставку платежных документов (квитанций) плательщикам (нанимателям) в срок до 10 числа месяца, следующего за истекшим;</w:t>
      </w:r>
    </w:p>
    <w:p>
      <w:pPr>
        <w:pStyle w:val="Style29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сведений о начисленных суммах платы за наем, в том числе о сумме задолженности по плате за наем главному администратору доходов - администрации Камышловского городского округа.</w:t>
      </w:r>
    </w:p>
    <w:p>
      <w:pPr>
        <w:pStyle w:val="Style29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Главному администратору доходов бюджета - администрации Камышловского городского округа осуществлять полномочия главного администратора доходов бюджета по администрированию платы за пользование жилыми помещениями муниципального жилищного фонда (платы за наем) в соответствии с бюджетным законодательством.</w:t>
      </w:r>
    </w:p>
    <w:p>
      <w:pPr>
        <w:pStyle w:val="Style29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Администратору доходов бюджета - Муниципальное казенное учреждение «Центр обеспечения деятельности администрации Камышловского городского округа» осуществлять полномочия администратора доходов бюджета по администрированию платы за пользование жилыми помещениями муниципального жилищного фонда (платы за наем) в соответствии с бюджетным законодательством.</w:t>
      </w:r>
    </w:p>
    <w:p>
      <w:pPr>
        <w:pStyle w:val="Style25"/>
        <w:spacing w:lineRule="auto" w:line="240" w:before="0" w:after="0"/>
        <w:ind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6. Признать утратившим силу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постановление главы Камышловского городского округа от 21.09.2019 № 872 «Об утверждении Порядка начисления, сбора и учета средств, поступающих от населения в качестве платы за пользованием жилым помещением (плата за наем)  в муниципальном жилищном фонде Камышловского городского округа».</w:t>
      </w:r>
    </w:p>
    <w:p>
      <w:pPr>
        <w:pStyle w:val="Style25"/>
        <w:spacing w:lineRule="auto" w:line="240" w:before="0" w:after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13"/>
          <w:rFonts w:ascii="Liberation Serif" w:hAnsi="Liberation Serif"/>
          <w:sz w:val="28"/>
          <w:szCs w:val="28"/>
        </w:rPr>
        <w:t>7. Опубликовать настоящее постановление в газете «Камышловские известия</w:t>
      </w:r>
      <w:r>
        <w:rPr>
          <w:rStyle w:val="Style13"/>
          <w:rFonts w:eastAsia="Calibri" w:ascii="Liberation Serif" w:hAnsi="Liberation Serif"/>
          <w:sz w:val="28"/>
          <w:szCs w:val="28"/>
        </w:rPr>
        <w:t>»</w:t>
      </w:r>
      <w:r>
        <w:rPr>
          <w:rStyle w:val="Style13"/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Style25"/>
        <w:spacing w:lineRule="auto" w:line="240" w:before="0" w:after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ab/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8. Контроль </w:t>
      </w:r>
      <w:r>
        <w:rPr>
          <w:rStyle w:val="Style13"/>
          <w:rFonts w:ascii="Liberation Serif" w:hAnsi="Liberation Serif"/>
          <w:sz w:val="28"/>
          <w:szCs w:val="28"/>
        </w:rPr>
        <w:t>за выполнением настоящего постановления возложить на первого заместителя главы администрации Камышловского городского округа   Бессонова Е.А.</w:t>
      </w:r>
    </w:p>
    <w:p>
      <w:pPr>
        <w:pStyle w:val="1"/>
        <w:widowControl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"/>
        <w:widowControl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widowControl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1"/>
        <w:widowControl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А.В, Половников</w:t>
      </w:r>
    </w:p>
    <w:sectPr>
      <w:headerReference w:type="default" r:id="rId7"/>
      <w:footerReference w:type="default" r:id="rId8"/>
      <w:type w:val="nextPage"/>
      <w:pgSz w:w="11906" w:h="16838"/>
      <w:pgMar w:left="1701" w:right="567" w:header="1134" w:top="1191" w:footer="1134" w:bottom="1265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40.35pt;margin-top:0.05pt;width:1.1pt;height:1.1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Style w:val="Style15"/>
                              <w:color w:val="auto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0.35pt;margin-top:0.05pt;width:1.1pt;height:1.1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Style w:val="Style15"/>
                        <w:color w:val="auto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3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3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8">
    <w:name w:val="Гипертекстовая ссылка"/>
    <w:basedOn w:val="Style13"/>
    <w:qFormat/>
    <w:rPr>
      <w:color w:val="106BBE"/>
    </w:rPr>
  </w:style>
  <w:style w:type="character" w:styleId="21">
    <w:name w:val="Заголовок 2 Знак"/>
    <w:basedOn w:val="Style13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Liberation Serif" w:hAnsi="Liberation Serif" w:eastAsia="Liberation Serif" w:cs="Liberation Serif"/>
      <w:bCs/>
      <w:color w:val="00000A"/>
      <w:sz w:val="28"/>
      <w:szCs w:val="28"/>
    </w:rPr>
  </w:style>
  <w:style w:type="character" w:styleId="ListLabel20">
    <w:name w:val="ListLabel 20"/>
    <w:qFormat/>
    <w:rPr>
      <w:rFonts w:ascii="Liberation Serif" w:hAnsi="Liberation Serif" w:eastAsia="Liberation Serif" w:cs="Liberation Serif"/>
      <w:color w:val="000000"/>
      <w:sz w:val="28"/>
      <w:szCs w:val="28"/>
    </w:rPr>
  </w:style>
  <w:style w:type="character" w:styleId="ListLabel21">
    <w:name w:val="ListLabel 21"/>
    <w:qFormat/>
    <w:rPr>
      <w:rFonts w:ascii="Liberation Serif" w:hAnsi="Liberation Serif" w:eastAsia="Calibri" w:cs="Liberation Serif"/>
      <w:sz w:val="28"/>
      <w:szCs w:val="28"/>
    </w:rPr>
  </w:style>
  <w:style w:type="character" w:styleId="Style19">
    <w:name w:val="Интернет-ссылка"/>
    <w:rPr>
      <w:color w:val="000080"/>
      <w:u w:val="single"/>
    </w:rPr>
  </w:style>
  <w:style w:type="character" w:styleId="Style20">
    <w:name w:val="Символ концевой сноски"/>
    <w:qFormat/>
    <w:rPr/>
  </w:style>
  <w:style w:type="character" w:styleId="Style21">
    <w:name w:val="Знак примечания"/>
    <w:basedOn w:val="Style13"/>
    <w:qFormat/>
    <w:rPr>
      <w:sz w:val="16"/>
      <w:szCs w:val="16"/>
    </w:rPr>
  </w:style>
  <w:style w:type="character" w:styleId="Style22">
    <w:name w:val="Текст примечания Знак"/>
    <w:basedOn w:val="Style13"/>
    <w:qFormat/>
    <w:rPr>
      <w:sz w:val="20"/>
      <w:szCs w:val="20"/>
    </w:rPr>
  </w:style>
  <w:style w:type="character" w:styleId="Style23">
    <w:name w:val="Тема примечания Знак"/>
    <w:basedOn w:val="Style22"/>
    <w:qFormat/>
    <w:rPr>
      <w:b/>
      <w:bCs/>
      <w:sz w:val="20"/>
      <w:szCs w:val="20"/>
    </w:rPr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color w:val="000000"/>
      <w:sz w:val="28"/>
      <w:szCs w:val="28"/>
    </w:rPr>
  </w:style>
  <w:style w:type="paragraph" w:styleId="Style24">
    <w:name w:val="Заголовок"/>
    <w:basedOn w:val="Normal"/>
    <w:next w:val="Style25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6">
    <w:name w:val="List"/>
    <w:basedOn w:val="Style25"/>
    <w:pPr>
      <w:suppressAutoHyphens w:val="true"/>
    </w:pPr>
    <w:rPr>
      <w:rFonts w:cs="Lucida Sans"/>
      <w:sz w:val="24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9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0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3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">
    <w:name w:val="Основной текст1"/>
    <w:basedOn w:val="Normal"/>
    <w:qFormat/>
    <w:pPr>
      <w:shd w:val="clear" w:fill="FFFFFF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val="clear" w:fill="FFFFFF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4">
    <w:name w:val="Абзац списка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5">
    <w:name w:val="Содержимое врезки"/>
    <w:basedOn w:val="Normal"/>
    <w:qFormat/>
    <w:pPr>
      <w:suppressAutoHyphens w:val="true"/>
    </w:pPr>
    <w:rPr/>
  </w:style>
  <w:style w:type="paragraph" w:styleId="Style36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ind w:firstLine="72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auto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7">
    <w:name w:val="Текст примечания"/>
    <w:basedOn w:val="Style29"/>
    <w:qFormat/>
    <w:pPr>
      <w:suppressAutoHyphens w:val="true"/>
    </w:pPr>
    <w:rPr>
      <w:sz w:val="20"/>
      <w:szCs w:val="20"/>
    </w:rPr>
  </w:style>
  <w:style w:type="paragraph" w:styleId="Style38">
    <w:name w:val="Тема примечания"/>
    <w:basedOn w:val="Style37"/>
    <w:next w:val="Style37"/>
    <w:qFormat/>
    <w:pPr>
      <w:suppressAutoHyphens w:val="true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DD1CB7CD8EC7134A39E0A53DD838540D4E1C983142995FBB0DB2932644FCF6H" TargetMode="External"/><Relationship Id="rId4" Type="http://schemas.openxmlformats.org/officeDocument/2006/relationships/hyperlink" Target="consultantplus://offline/ref=728EF677774E84B639076035FA074EE84AE1345095BC93192442198873513672060670795BE7CF4Fc0D0K" TargetMode="External"/><Relationship Id="rId5" Type="http://schemas.openxmlformats.org/officeDocument/2006/relationships/hyperlink" Target="consultantplus://offline/ref=DD1CB7CD8EC7134A39E0A53DD838540D4E1C9937409B5FBB0DB2932644FCF6H" TargetMode="External"/><Relationship Id="rId6" Type="http://schemas.openxmlformats.org/officeDocument/2006/relationships/hyperlink" Target="consultantplus://offline/ref=DD1CB7CD8EC7134A39E0BB30CE540A074E14C53F439A52EC59E295711B964C7CC9DEFC189A2214245DAEDBA1F8F0H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798</TotalTime>
  <Application>LibreOffice/6.1.4.2$Windows_X86_64 LibreOffice_project/9d0f32d1f0b509096fd65e0d4bec26ddd1938fd3</Application>
  <Pages>2</Pages>
  <Words>415</Words>
  <Characters>2919</Characters>
  <CharactersWithSpaces>3378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2019-06-03T18:27:49Z</cp:lastPrinted>
  <dcterms:modified xsi:type="dcterms:W3CDTF">2019-06-03T18:28:01Z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