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4E0070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проект </w:t>
            </w:r>
            <w:r w:rsidR="00EB0A67">
              <w:rPr>
                <w:rFonts w:ascii="Liberation Serif" w:hAnsi="Liberation Serif"/>
                <w:iCs/>
                <w:sz w:val="28"/>
              </w:rPr>
              <w:t xml:space="preserve">решения </w:t>
            </w:r>
            <w:r w:rsidR="00EB0A67">
              <w:rPr>
                <w:rFonts w:ascii="Liberation Serif" w:hAnsi="Liberation Serif"/>
                <w:sz w:val="28"/>
              </w:rPr>
              <w:t>о</w:t>
            </w:r>
            <w:r w:rsidR="00EB0A67" w:rsidRPr="00423F1A">
              <w:rPr>
                <w:rFonts w:ascii="Liberation Serif" w:hAnsi="Liberation Serif"/>
                <w:sz w:val="28"/>
              </w:rPr>
              <w:t xml:space="preserve"> предоставлени</w:t>
            </w:r>
            <w:r w:rsidR="00EB0A67">
              <w:rPr>
                <w:rFonts w:ascii="Liberation Serif" w:hAnsi="Liberation Serif"/>
                <w:sz w:val="28"/>
              </w:rPr>
              <w:t>и</w:t>
            </w:r>
            <w:r w:rsidR="00EB0A67" w:rsidRPr="00423F1A">
              <w:rPr>
                <w:rFonts w:ascii="Liberation Serif" w:hAnsi="Liberation Serif"/>
                <w:sz w:val="28"/>
                <w:szCs w:val="28"/>
              </w:rPr>
              <w:t xml:space="preserve"> разрешения на 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условно разрешенный вид использования 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земельного участка</w:t>
            </w:r>
            <w:r w:rsidR="004E0070">
              <w:rPr>
                <w:rFonts w:ascii="Liberation Serif" w:hAnsi="Liberation Serif"/>
                <w:sz w:val="28"/>
                <w:szCs w:val="28"/>
              </w:rPr>
              <w:t xml:space="preserve"> -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 </w:t>
            </w:r>
            <w:r w:rsidR="004E0070">
              <w:rPr>
                <w:rFonts w:ascii="Liberation Serif" w:hAnsi="Liberation Serif"/>
                <w:sz w:val="28"/>
                <w:szCs w:val="28"/>
              </w:rPr>
              <w:t>склады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>,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 xml:space="preserve"> с кадастровым номером 66:46:010</w:t>
            </w:r>
            <w:r w:rsidR="004E0070">
              <w:rPr>
                <w:rFonts w:ascii="Liberation Serif" w:hAnsi="Liberation Serif"/>
                <w:sz w:val="28"/>
                <w:szCs w:val="28"/>
              </w:rPr>
              <w:t>7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00</w:t>
            </w:r>
            <w:r w:rsidR="004E0070">
              <w:rPr>
                <w:rFonts w:ascii="Liberation Serif" w:hAnsi="Liberation Serif"/>
                <w:sz w:val="28"/>
                <w:szCs w:val="28"/>
              </w:rPr>
              <w:t>1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:</w:t>
            </w:r>
            <w:r w:rsidR="004E0070">
              <w:rPr>
                <w:rFonts w:ascii="Liberation Serif" w:hAnsi="Liberation Serif"/>
                <w:sz w:val="28"/>
                <w:szCs w:val="28"/>
              </w:rPr>
              <w:t>1763</w:t>
            </w:r>
            <w:r w:rsidR="00860550">
              <w:rPr>
                <w:rFonts w:ascii="Liberation Serif" w:hAnsi="Liberation Serif"/>
                <w:sz w:val="28"/>
                <w:szCs w:val="28"/>
              </w:rPr>
              <w:t>, расположенного по адресу:</w:t>
            </w:r>
            <w:r w:rsidR="004E7284">
              <w:rPr>
                <w:rFonts w:ascii="Liberation Serif" w:hAnsi="Liberation Serif"/>
                <w:sz w:val="28"/>
                <w:szCs w:val="28"/>
              </w:rPr>
              <w:t xml:space="preserve"> Свердловская область, </w:t>
            </w:r>
            <w:proofErr w:type="spellStart"/>
            <w:r w:rsidR="004E0070">
              <w:rPr>
                <w:rFonts w:ascii="Liberation Serif" w:hAnsi="Liberation Serif"/>
                <w:sz w:val="28"/>
                <w:szCs w:val="28"/>
              </w:rPr>
              <w:t>Камышловский</w:t>
            </w:r>
            <w:proofErr w:type="spellEnd"/>
            <w:r w:rsidR="004E0070">
              <w:rPr>
                <w:rFonts w:ascii="Liberation Serif" w:hAnsi="Liberation Serif"/>
                <w:sz w:val="28"/>
                <w:szCs w:val="28"/>
              </w:rPr>
              <w:t xml:space="preserve"> городской округ, город Камышлов, улица Жукова, земельный участок № 68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FD5244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915DE0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D524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524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FD5244">
              <w:rPr>
                <w:rFonts w:ascii="Times New Roman" w:eastAsia="Times New Roman" w:hAnsi="Times New Roman"/>
                <w:sz w:val="28"/>
                <w:szCs w:val="28"/>
              </w:rPr>
              <w:t>10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E3F7A" w:rsidRPr="008D1F5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FD5244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FD5244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6517D9">
              <w:rPr>
                <w:rFonts w:ascii="Times New Roman" w:eastAsia="Times New Roman" w:hAnsi="Times New Roman"/>
                <w:sz w:val="28"/>
                <w:szCs w:val="28"/>
              </w:rPr>
              <w:t>1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A3528E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6517D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6517D9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817A99">
              <w:rPr>
                <w:rFonts w:ascii="Times New Roman" w:eastAsia="Times New Roman" w:hAnsi="Times New Roman"/>
                <w:sz w:val="28"/>
                <w:szCs w:val="28"/>
              </w:rPr>
              <w:t>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E75DE9">
              <w:rPr>
                <w:rFonts w:ascii="Times New Roman" w:eastAsia="Times New Roman" w:hAnsi="Times New Roman"/>
                <w:sz w:val="28"/>
                <w:szCs w:val="28"/>
              </w:rPr>
              <w:t>3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E75DE9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</w:t>
            </w:r>
            <w:bookmarkStart w:id="0" w:name="_GoBack"/>
            <w:bookmarkEnd w:id="0"/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 w15:restartNumberingAfterBreak="0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362BFD"/>
    <w:rsid w:val="00381196"/>
    <w:rsid w:val="003F04B2"/>
    <w:rsid w:val="00467186"/>
    <w:rsid w:val="004B1A39"/>
    <w:rsid w:val="004E0070"/>
    <w:rsid w:val="004E7284"/>
    <w:rsid w:val="0057512F"/>
    <w:rsid w:val="006057CD"/>
    <w:rsid w:val="006163E5"/>
    <w:rsid w:val="00624909"/>
    <w:rsid w:val="006517D9"/>
    <w:rsid w:val="00722AD5"/>
    <w:rsid w:val="00804CD9"/>
    <w:rsid w:val="00817A99"/>
    <w:rsid w:val="00860550"/>
    <w:rsid w:val="008B4E18"/>
    <w:rsid w:val="008D1F57"/>
    <w:rsid w:val="00915DE0"/>
    <w:rsid w:val="00A3528E"/>
    <w:rsid w:val="00A82E6B"/>
    <w:rsid w:val="00AB1432"/>
    <w:rsid w:val="00D57D0E"/>
    <w:rsid w:val="00E75DE9"/>
    <w:rsid w:val="00EB0A67"/>
    <w:rsid w:val="00ED1C06"/>
    <w:rsid w:val="00FD1F84"/>
    <w:rsid w:val="00FD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0442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572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cp:lastPrinted>2021-02-10T06:53:00Z</cp:lastPrinted>
  <dcterms:created xsi:type="dcterms:W3CDTF">2022-02-01T11:04:00Z</dcterms:created>
  <dcterms:modified xsi:type="dcterms:W3CDTF">2022-02-02T04:48:00Z</dcterms:modified>
</cp:coreProperties>
</file>