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7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7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37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3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7"/>
        <w:widowControl/>
        <w:jc w:val="both"/>
        <w:rPr>
          <w:rFonts w:ascii="Liberation Serif" w:hAnsi="Liberation Serif"/>
          <w:b w:val="false"/>
          <w:b w:val="false"/>
          <w:sz w:val="28"/>
          <w:szCs w:val="28"/>
          <w:lang w:val="en-US"/>
        </w:rPr>
      </w:pPr>
      <w:r>
        <w:rPr>
          <w:rStyle w:val="Style13"/>
          <w:rFonts w:ascii="Liberation Serif" w:hAnsi="Liberation Serif"/>
          <w:b/>
          <w:sz w:val="28"/>
          <w:szCs w:val="24"/>
          <w:lang w:val="en-US"/>
        </w:rPr>
        <w:t xml:space="preserve">от </w:t>
      </w:r>
      <w:r>
        <w:rPr>
          <w:rStyle w:val="Style13"/>
          <w:rFonts w:ascii="Liberation Serif" w:hAnsi="Liberation Serif"/>
          <w:b/>
          <w:sz w:val="28"/>
          <w:szCs w:val="24"/>
          <w:lang w:val="en-US"/>
        </w:rPr>
        <w:t>12.05.</w:t>
      </w:r>
      <w:r>
        <w:rPr>
          <w:rStyle w:val="Style13"/>
          <w:rFonts w:ascii="Liberation Serif" w:hAnsi="Liberation Serif"/>
          <w:b/>
          <w:sz w:val="28"/>
          <w:szCs w:val="24"/>
          <w:lang w:val="en-US"/>
        </w:rPr>
        <w:t xml:space="preserve">2021 N </w:t>
      </w:r>
      <w:r>
        <w:rPr>
          <w:rStyle w:val="Style13"/>
          <w:rFonts w:ascii="Liberation Serif" w:hAnsi="Liberation Serif"/>
          <w:b/>
          <w:sz w:val="28"/>
          <w:szCs w:val="24"/>
          <w:lang w:val="en-US"/>
        </w:rPr>
        <w:t>32</w:t>
      </w:r>
      <w:r>
        <w:rPr>
          <w:rStyle w:val="Style13"/>
          <w:rFonts w:ascii="Liberation Serif" w:hAnsi="Liberation Serif"/>
          <w:b/>
          <w:sz w:val="28"/>
          <w:szCs w:val="24"/>
          <w:lang w:val="en-US"/>
        </w:rPr>
        <w:t>3</w:t>
      </w:r>
    </w:p>
    <w:p>
      <w:pPr>
        <w:pStyle w:val="Style37"/>
        <w:jc w:val="center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</w:r>
    </w:p>
    <w:p>
      <w:pPr>
        <w:pStyle w:val="Style37"/>
        <w:jc w:val="center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>
      <w:pPr>
        <w:pStyle w:val="Style37"/>
        <w:jc w:val="center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  <w:t>Камышловского городского округа от 11.04.2019 № 323 «Об утверждении Плана мероприятий («дорожной карты») по повышению доходного потенциала Камышловского городского округа на 2019–2021 годы»</w:t>
      </w:r>
    </w:p>
    <w:p>
      <w:pPr>
        <w:pStyle w:val="Style37"/>
        <w:ind w:left="0" w:right="0" w:firstLine="180"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3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распоряжением Правительства Свердловской области от 29.03.2021г. № 130-РП «О внесении изменений в распоряжение Правительства Свердловской области от 26.04.2019г. № 178-РП «Об утверждении Плана мероприятий («дорожной карты») по повышению доходного потенциала Свердловской области на 2019-2021 годы», администрация Камышловского городского округа </w:t>
      </w:r>
    </w:p>
    <w:p>
      <w:pPr>
        <w:pStyle w:val="Style37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ПОСТАНОВЛЯЕТ</w:t>
      </w:r>
      <w:r>
        <w:rPr>
          <w:rStyle w:val="Style13"/>
          <w:rFonts w:ascii="Liberation Serif" w:hAnsi="Liberation Serif"/>
          <w:sz w:val="28"/>
          <w:szCs w:val="28"/>
        </w:rPr>
        <w:t xml:space="preserve">: </w:t>
      </w:r>
    </w:p>
    <w:p>
      <w:pPr>
        <w:pStyle w:val="Style44"/>
        <w:spacing w:before="0" w:after="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 Внести в План мероприятий («дорожную карту») по повышению доходного потенциала Камышловского городского округа на 2019-2021 годы, утвержденный постановлением администрации Камышловского городского округа от 11.04.2019 № 323 «Об утверждении Плана мероприятий («дорожной карты») по повышению доходного потенциала Камышловского городского округа на 2019-2021 годы»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c</w:t>
      </w:r>
      <w:r>
        <w:rPr>
          <w:rStyle w:val="Style13"/>
          <w:rFonts w:ascii="Liberation Serif" w:hAnsi="Liberation Serif"/>
          <w:sz w:val="28"/>
          <w:szCs w:val="28"/>
        </w:rPr>
        <w:t xml:space="preserve"> изменениями, внесенными постановлением администрации Камышловского городского округа от 30.06.2020 № 435 (далее – постановление администрации Камышловского городского округа от 11.04.2019 № 323), следующие изменения: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пункте 4 в таблице строки 5-8 изложить в новой редакции (приложение № 1);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части 2 в таблице строки 2, 5, 6, 11, 13, 18, 19, 19-1 изложить в новой редакции (приложение № 2);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части 2 в таблице в строке 3 графу 4 изложить в следующей редакции: «2019-2021 годы»;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части 2 таблицу дополнить строками 7-1, 11-1, 14-1 (приложение №3);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 части 2 в таблице строку 7, 16, 17 считать утратившей силу;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 приложении таблицу 1 изложить в новой редакции (приложение № 4)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приложение дополнить таблицей 1-1 (приложение № 5)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в приложении таблицу 5 изложить в новой редакции (приложение №6);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в приложении таблицу 7 признать утратившей силу;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в приложении таблицу 8 изложить в новой редакции (приложение №7).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Разместить настоящее постановление на официальном сайте Камышловского городского округа. </w:t>
      </w:r>
    </w:p>
    <w:p>
      <w:pPr>
        <w:pStyle w:val="Style4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3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7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start="1" w:fmt="decimal"/>
          <w:formProt w:val="false"/>
          <w:titlePg/>
          <w:textDirection w:val="lrTb"/>
          <w:docGrid w:type="default" w:linePitch="600" w:charSpace="40960"/>
        </w:sectPr>
        <w:pStyle w:val="Style37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Приложение № 1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 постановлению администрации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Style37"/>
        <w:ind w:left="0" w:right="0" w:firstLine="10065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>12.05.2021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ascii="Liberation Serif" w:hAnsi="Liberation Serif"/>
          <w:sz w:val="28"/>
          <w:szCs w:val="28"/>
          <w:lang w:eastAsia="en-US"/>
        </w:rPr>
        <w:t>323</w:t>
      </w:r>
    </w:p>
    <w:p>
      <w:pPr>
        <w:pStyle w:val="Style37"/>
        <w:jc w:val="center"/>
        <w:rPr>
          <w:rFonts w:ascii="Liberation Serif" w:hAnsi="Liberation Serif" w:eastAsia="Calibri"/>
          <w:lang w:eastAsia="en-US"/>
        </w:rPr>
      </w:pPr>
      <w:r>
        <w:rPr>
          <w:rFonts w:eastAsia="Calibri" w:ascii="Liberation Serif" w:hAnsi="Liberation Serif"/>
          <w:lang w:eastAsia="en-US"/>
        </w:rPr>
      </w:r>
    </w:p>
    <w:tbl>
      <w:tblPr>
        <w:tblW w:w="495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6570"/>
        <w:gridCol w:w="2134"/>
        <w:gridCol w:w="2357"/>
        <w:gridCol w:w="2369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Номер строки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2019 год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2020 год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2021 год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5.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Среднемесячная номинальная начисленная заработная плата одного работника, процентов к предыдущему году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не менее</w:t>
            </w:r>
          </w:p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106,2%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не менее</w:t>
            </w:r>
          </w:p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105,6%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не менее</w:t>
            </w:r>
          </w:p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107,6%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6.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Достижение значения показателя снижения неформальной занятости в Камышловском городском округе, соответствующего снижению численности экономически активных лиц трудоспособного возраста, не осуществляющих трудовую деятельность, предусмотренного соглашением между Правительством Свердловской области и администрацией Камышловского городского округа на соответствующий отчетный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не менее</w:t>
            </w:r>
          </w:p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100,0%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–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–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7.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eastAsia="Calibri" w:ascii="Liberation Serif" w:hAnsi="Liberation Serif"/>
                <w:lang w:eastAsia="en-US"/>
              </w:rPr>
              <w:t>Темп роста поступлений в бюджет Камышловского городского округа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rPr>
                <w:rStyle w:val="Style13"/>
                <w:rFonts w:eastAsia="Calibri" w:ascii="Liberation Serif" w:hAnsi="Liberation Serif"/>
                <w:position w:val="8"/>
                <w:sz w:val="16"/>
                <w:lang w:eastAsia="en-US"/>
              </w:rPr>
              <w:t>1</w:t>
            </w:r>
            <w:r>
              <w:rPr>
                <w:rStyle w:val="Style13"/>
                <w:rFonts w:eastAsia="Calibri" w:ascii="Liberation Serif" w:hAnsi="Liberation Serif"/>
                <w:lang w:eastAsia="en-US"/>
              </w:rPr>
              <w:t xml:space="preserve"> Налогового кодекса Российской Федерации, рассчитанный исходя из данных статистической налоговой отчетности по форме № 1-НМ «Отчет о начислении и поступлении налогов, сборов, страховых взносов и иных обязательных платежей в бюджетную систему Российской Федерации»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 xml:space="preserve">не менее </w:t>
            </w:r>
          </w:p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105,7%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 xml:space="preserve">не менее </w:t>
            </w:r>
          </w:p>
          <w:p>
            <w:pPr>
              <w:pStyle w:val="Style37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lang w:eastAsia="en-US"/>
              </w:rPr>
              <w:t>105,7%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 xml:space="preserve">не менее </w:t>
            </w:r>
          </w:p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107,6%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8.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Инвестиции в основной капитал, процентов к предыдущему году в сопоставимых ценах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не менее</w:t>
            </w:r>
          </w:p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106,5%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не менее</w:t>
            </w:r>
          </w:p>
          <w:p>
            <w:pPr>
              <w:pStyle w:val="Style37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lang w:val="en-US" w:eastAsia="en-US"/>
              </w:rPr>
              <w:t>106</w:t>
            </w:r>
            <w:r>
              <w:rPr>
                <w:rStyle w:val="Style13"/>
                <w:rFonts w:eastAsia="Calibri" w:ascii="Liberation Serif" w:hAnsi="Liberation Serif"/>
                <w:lang w:eastAsia="en-US"/>
              </w:rPr>
              <w:t>,6%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не менее</w:t>
            </w:r>
          </w:p>
          <w:p>
            <w:pPr>
              <w:pStyle w:val="Style37"/>
              <w:jc w:val="center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105,5%</w:t>
            </w:r>
          </w:p>
        </w:tc>
      </w:tr>
    </w:tbl>
    <w:p>
      <w:pPr>
        <w:pStyle w:val="Style37"/>
        <w:jc w:val="center"/>
        <w:rPr>
          <w:rFonts w:ascii="Liberation Serif" w:hAnsi="Liberation Serif" w:eastAsia="Calibri"/>
          <w:lang w:eastAsia="en-US"/>
        </w:rPr>
      </w:pPr>
      <w:r>
        <w:rPr>
          <w:rFonts w:eastAsia="Calibri" w:ascii="Liberation Serif" w:hAnsi="Liberation Serif"/>
          <w:lang w:eastAsia="en-US"/>
        </w:rPr>
      </w:r>
    </w:p>
    <w:p>
      <w:pPr>
        <w:pStyle w:val="Style37"/>
        <w:jc w:val="center"/>
        <w:rPr>
          <w:rFonts w:ascii="Liberation Serif" w:hAnsi="Liberation Serif" w:eastAsia="Calibri"/>
          <w:lang w:eastAsia="en-US"/>
        </w:rPr>
      </w:pPr>
      <w:r>
        <w:rPr>
          <w:rFonts w:eastAsia="Calibri" w:ascii="Liberation Serif" w:hAnsi="Liberation Serif"/>
          <w:lang w:eastAsia="en-US"/>
        </w:rPr>
      </w:r>
    </w:p>
    <w:p>
      <w:pPr>
        <w:pStyle w:val="Style37"/>
        <w:tabs>
          <w:tab w:val="clear" w:pos="708"/>
          <w:tab w:val="left" w:pos="11766" w:leader="none"/>
        </w:tabs>
        <w:overflowPunct w:val="false"/>
        <w:autoSpaceDE w:val="false"/>
        <w:jc w:val="center"/>
        <w:textAlignment w:val="baseline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  <w:r>
        <w:br w:type="page"/>
      </w:r>
    </w:p>
    <w:p>
      <w:pPr>
        <w:pStyle w:val="Style37"/>
        <w:ind w:left="0" w:right="0" w:firstLine="10065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Приложение № 2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 постановлению администрации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Style37"/>
        <w:ind w:left="0" w:right="0" w:firstLine="10065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12.05.2021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№ </w:t>
      </w:r>
      <w:r>
        <w:rPr>
          <w:rFonts w:eastAsia="Calibri" w:ascii="Liberation Serif" w:hAnsi="Liberation Serif"/>
          <w:sz w:val="28"/>
          <w:szCs w:val="28"/>
          <w:lang w:eastAsia="en-US"/>
        </w:rPr>
        <w:t>323</w:t>
      </w:r>
    </w:p>
    <w:p>
      <w:pPr>
        <w:pStyle w:val="Style37"/>
        <w:ind w:left="0" w:right="0" w:firstLine="10348"/>
        <w:rPr>
          <w:rFonts w:ascii="Liberation Serif" w:hAnsi="Liberation Serif" w:eastAsia="Calibri"/>
          <w:lang w:eastAsia="en-US"/>
        </w:rPr>
      </w:pPr>
      <w:r>
        <w:rPr>
          <w:rFonts w:eastAsia="Calibri" w:ascii="Liberation Serif" w:hAnsi="Liberation Serif"/>
          <w:lang w:eastAsia="en-US"/>
        </w:rPr>
      </w:r>
    </w:p>
    <w:p>
      <w:pPr>
        <w:pStyle w:val="Style37"/>
        <w:ind w:left="0" w:right="0" w:firstLine="10348"/>
        <w:rPr>
          <w:rFonts w:ascii="Liberation Serif" w:hAnsi="Liberation Serif" w:eastAsia="Calibri"/>
          <w:lang w:eastAsia="en-US"/>
        </w:rPr>
      </w:pPr>
      <w:r>
        <w:rPr>
          <w:rFonts w:eastAsia="Calibri" w:ascii="Liberation Serif" w:hAnsi="Liberation Serif"/>
          <w:lang w:eastAsia="en-US"/>
        </w:rPr>
      </w:r>
    </w:p>
    <w:p>
      <w:pPr>
        <w:pStyle w:val="Style37"/>
        <w:jc w:val="center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p>
      <w:pPr>
        <w:pStyle w:val="Style37"/>
        <w:rPr>
          <w:rFonts w:ascii="Liberation Serif" w:hAnsi="Liberation Serif"/>
          <w:sz w:val="4"/>
          <w:szCs w:val="4"/>
        </w:rPr>
      </w:pPr>
      <w:r>
        <w:rPr>
          <w:rFonts w:ascii="Liberation Serif" w:hAnsi="Liberation Serif"/>
          <w:sz w:val="4"/>
          <w:szCs w:val="4"/>
        </w:rPr>
      </w:r>
    </w:p>
    <w:p>
      <w:pPr>
        <w:pStyle w:val="Style37"/>
        <w:rPr>
          <w:rFonts w:ascii="Liberation Serif" w:hAnsi="Liberation Serif"/>
          <w:sz w:val="4"/>
          <w:szCs w:val="4"/>
        </w:rPr>
      </w:pPr>
      <w:r>
        <w:rPr>
          <w:rFonts w:ascii="Liberation Serif" w:hAnsi="Liberation Serif"/>
          <w:sz w:val="4"/>
          <w:szCs w:val="4"/>
        </w:rPr>
      </w:r>
    </w:p>
    <w:p>
      <w:pPr>
        <w:pStyle w:val="Style37"/>
        <w:rPr>
          <w:rFonts w:ascii="Liberation Serif" w:hAnsi="Liberation Serif"/>
          <w:sz w:val="4"/>
          <w:szCs w:val="4"/>
        </w:rPr>
      </w:pPr>
      <w:r>
        <w:rPr>
          <w:rFonts w:ascii="Liberation Serif" w:hAnsi="Liberation Serif"/>
          <w:sz w:val="4"/>
          <w:szCs w:val="4"/>
        </w:rPr>
      </w:r>
    </w:p>
    <w:tbl>
      <w:tblPr>
        <w:tblW w:w="1460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5814"/>
        <w:gridCol w:w="3118"/>
        <w:gridCol w:w="1842"/>
        <w:gridCol w:w="2834"/>
      </w:tblGrid>
      <w:tr>
        <w:trPr>
          <w:trHeight w:val="16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</w:rPr>
              <w:t>Номер</w:t>
            </w:r>
            <w:r>
              <w:rPr>
                <w:rStyle w:val="Style13"/>
                <w:rFonts w:ascii="Liberation Serif" w:hAnsi="Liberation Serif"/>
                <w:lang w:val="en-US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строки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Исполнители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</w:rPr>
              <w:t>Рекомендуемый срок исполнения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Ожидаемый результат</w:t>
            </w:r>
          </w:p>
        </w:tc>
      </w:tr>
    </w:tbl>
    <w:p>
      <w:pPr>
        <w:pStyle w:val="Style37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60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5814"/>
        <w:gridCol w:w="3118"/>
        <w:gridCol w:w="1842"/>
        <w:gridCol w:w="2834"/>
      </w:tblGrid>
      <w:tr>
        <w:trPr>
          <w:tblHeader w:val="true"/>
          <w:trHeight w:val="59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>
        <w:trPr>
          <w:trHeight w:val="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  <w:bCs/>
              </w:rPr>
              <w:t>Организация работы и участие в деятельности межведомственных комиссий в соответствии с постановлением главы Камышловского городского округа от 16,11.2012г. № 1640 по выявлению резервов поступлений в консолидированный бюджет Свердловской области налога на доходы физических лиц путем заслушивания руководителей организаций по вопросам доведения заработной платы до среднего уровня по 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доходы физических лиц (в том числе участие в работе комиссий по легализации «теневой» заработной платы в целях выявления и пресечения «конвертных» схем уклонения от налогообложения).</w:t>
            </w:r>
          </w:p>
          <w:p>
            <w:pPr>
              <w:pStyle w:val="Style37"/>
              <w:autoSpaceDE w:val="fals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Информация о результатах работы представляется </w:t>
            </w:r>
          </w:p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  <w:bCs/>
              </w:rPr>
              <w:t>в Министерство финансов Свердловской области по форме согласно приложению к настоящему плану мероприятий (таблица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Межведомственная комиссия по вопросам укрепления финансовой самостоятельности бюджета Камышловского городского округа</w:t>
            </w:r>
          </w:p>
          <w:p>
            <w:pPr>
              <w:pStyle w:val="Style37"/>
              <w:autoSpaceDE w:val="fals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  <w:bCs/>
              </w:rPr>
              <w:t>Рабочая группа по снижению неформальной занятости, легализации заработной платы и повышению собираемости страховых взносов во внебюджетные фонды Камышловского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ежеквартально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  <w:bCs/>
              </w:rPr>
              <w:t xml:space="preserve">обеспечение исполнения прогнозируемых сумм поступлений доходов по налогу на доходы физических лиц </w:t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bCs/>
                <w:sz w:val="2"/>
                <w:szCs w:val="2"/>
                <w:highlight w:val="yellow"/>
              </w:rPr>
            </w:pPr>
            <w:r>
              <w:rPr>
                <w:rFonts w:ascii="Liberation Serif" w:hAnsi="Liberation Serif"/>
                <w:bCs/>
                <w:sz w:val="2"/>
                <w:szCs w:val="2"/>
                <w:highlight w:val="yellow"/>
              </w:rPr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pacing w:lineRule="auto" w:line="228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pacing w:lineRule="auto" w:line="228"/>
              <w:jc w:val="center"/>
              <w:rPr/>
            </w:pPr>
            <w:r>
              <w:rPr>
                <w:rStyle w:val="Style13"/>
                <w:rFonts w:ascii="Liberation Serif" w:hAnsi="Liberation Serif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pacing w:lineRule="auto" w:line="228"/>
              <w:rPr/>
            </w:pPr>
            <w:r>
              <w:rPr>
                <w:rStyle w:val="Style13"/>
                <w:rFonts w:ascii="Liberation Serif" w:hAnsi="Liberation Serif"/>
              </w:rPr>
              <w:t>Проведение мероприятий по вовлечению в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налогооблагаемый оборот доходов от сдачи физическими лицами в аренду недвижимого имущества, в том числе:</w:t>
            </w:r>
          </w:p>
          <w:p>
            <w:pPr>
              <w:pStyle w:val="Style37"/>
              <w:spacing w:lineRule="auto" w:line="228"/>
              <w:rPr/>
            </w:pPr>
            <w:r>
              <w:rPr>
                <w:rStyle w:val="Style13"/>
                <w:rFonts w:ascii="Liberation Serif" w:hAnsi="Liberation Serif"/>
              </w:rPr>
              <w:t>1) проведение работы с организациями, осуществляющими управление многоквартирными домами (управляющими компаниями и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товариществами собственников жилья), о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необходимости направления перечня адресов помещений, в отношении которых у них имеются сведения о сдаче в аренду данного имущества;</w:t>
            </w:r>
          </w:p>
          <w:p>
            <w:pPr>
              <w:pStyle w:val="Style37"/>
              <w:spacing w:lineRule="auto" w:line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организация горячей линии (телефона доверия) для сообщения о фактах сдачи физическими лицами жилых помещений в аренду и направление данной информации в территориальный налоговый орган.</w:t>
            </w:r>
          </w:p>
          <w:p>
            <w:pPr>
              <w:pStyle w:val="Style37"/>
              <w:spacing w:lineRule="auto" w:line="228"/>
              <w:rPr/>
            </w:pPr>
            <w:r>
              <w:rPr>
                <w:rStyle w:val="Style13"/>
                <w:rFonts w:ascii="Liberation Serif" w:hAnsi="Liberation Serif"/>
              </w:rPr>
              <w:t>Информация о результатах работы представляется в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Министерство финансов Свердловской области по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форме согласно приложению к настоящему плану мероприятий (таблица 1-1)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pacing w:lineRule="auto" w:line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экономики администрации Камышловского городского округа</w:t>
            </w:r>
          </w:p>
          <w:p>
            <w:pPr>
              <w:pStyle w:val="Style37"/>
              <w:spacing w:lineRule="auto" w:line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жилищно –коммунального и городского хозяйства администрации Камышловского городского округа</w:t>
            </w:r>
          </w:p>
          <w:p>
            <w:pPr>
              <w:pStyle w:val="Style37"/>
              <w:spacing w:lineRule="auto" w:line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pacing w:lineRule="auto" w:line="2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pacing w:lineRule="auto" w:line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дополнительных поступлений по налогу на доходы физических лиц за счет вовлечения доходов от сдачи в наем или аренду физическими лицами собственных жилых помещений в налогооблагаемый оборот</w:t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Проведение анализа информации о задолженности предприятий, имеющих недоимку по налогам и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 xml:space="preserve">сборам, зачисляемым в областной бюджет и местные бюджеты, проведение работы с налогоплательщиками по ее погашению путем </w:t>
            </w:r>
            <w:r>
              <w:rPr>
                <w:rStyle w:val="Style13"/>
                <w:rFonts w:cs="Arial" w:ascii="Liberation Serif" w:hAnsi="Liberation Serif"/>
              </w:rPr>
              <w:t>заслушивания на соответствующих комиссиях руководителей и собственников организаций, в соответствии с постановлением главы Камышловского городского округа от 16.11.2012г. № 1640.</w:t>
            </w:r>
          </w:p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 xml:space="preserve">Информация о результатах работы представляется в Министерство финансов Свердловской области по форме согласно приложению к настоящему плану мероприятий (таблица 1)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cs="Arial" w:ascii="Liberation Serif" w:hAnsi="Liberation Serif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поступлений в областной бюджет и местные бюджеты за счет погашения (урегулирования) задолженности</w:t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Мониторинг доходов, поступающих в местный бюджет, от приватизации (реализации) объектов муниципального имущества, решение о включении в прогнозный план (программу) приватизации которых принято по результатам оценки оптимальности состава и эффективности использования муниципального имущества, осуществляемой в соответствии с распоряжением Правительства Российской Федерации от 12.10.2020 № 2645-р и (или) муниципальными правовыми актами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Комитет по управлению имуществом и земельными ресурсами администрации Камышловского городского округа</w:t>
            </w:r>
          </w:p>
          <w:p>
            <w:pPr>
              <w:pStyle w:val="Style37"/>
              <w:autoSpaceDE w:val="fals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ежегодно, до 20 числа месяца, следующего за отчетным кварталом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</w:rPr>
              <w:t>увеличение неналоговых доходов</w:t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Организация и проведение мероприятий по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определению (уточнению) характеристик и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сведений о правообладателях объектов недвижимого имущества по перечням, полученным от Министерства финансов Свердловской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имуществом и земельными ресурсами администрации Камышловского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ежегодно, </w:t>
            </w:r>
          </w:p>
          <w:p>
            <w:pPr>
              <w:pStyle w:val="Style37"/>
              <w:jc w:val="center"/>
              <w:rPr/>
            </w:pPr>
            <w:r>
              <w:rPr>
                <w:rStyle w:val="Style13"/>
                <w:rFonts w:ascii="Liberation Serif" w:hAnsi="Liberation Serif"/>
                <w:lang w:val="en-US"/>
              </w:rPr>
              <w:t>II</w:t>
            </w:r>
            <w:r>
              <w:rPr>
                <w:rStyle w:val="Style13"/>
                <w:rFonts w:ascii="Liberation Serif" w:hAnsi="Liberation Serif"/>
              </w:rPr>
              <w:t>–</w:t>
            </w:r>
            <w:r>
              <w:rPr>
                <w:rStyle w:val="Style13"/>
                <w:rFonts w:ascii="Liberation Serif" w:hAnsi="Liberation Serif"/>
                <w:lang w:val="en-US"/>
              </w:rPr>
              <w:t>III</w:t>
            </w:r>
            <w:r>
              <w:rPr>
                <w:rStyle w:val="Style13"/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</w:rPr>
              <w:t>вовлечение в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налогооблагаемый (хозяйственный) оборот неучтенных объектов недвижимого имущества и обеспечение своевременного поступления имущественных налогов и неналоговых доходов от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его реализации или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использования</w:t>
            </w:r>
          </w:p>
        </w:tc>
      </w:tr>
      <w:tr>
        <w:trPr>
          <w:trHeight w:val="7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7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Реализация мероприятий в рамках муниципального земельного контроля по выявлению следующих земельных участков:</w:t>
            </w:r>
          </w:p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1)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не используемых по целевому назначению;</w:t>
            </w:r>
          </w:p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2)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невостребованных участков, долей, паев из земель сельскохозяйственного назначения с последующим принятием мер по оформлению их в муниципальную собственность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имуществом и земельными ресурсами администрации Камышловского городского округа</w:t>
            </w:r>
          </w:p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Style37"/>
              <w:autoSpaceDE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</w:rPr>
              <w:t xml:space="preserve">вовлечение в налогооблагаемый оборот неучтенных земельных участков и обеспечение своевременного поступления земельного налога либо арендной </w:t>
            </w:r>
            <w:r>
              <w:rPr>
                <w:rStyle w:val="Style13"/>
                <w:rFonts w:ascii="Liberation Serif" w:hAnsi="Liberation Serif"/>
                <w:spacing w:val="-4"/>
              </w:rPr>
              <w:t>платы в местные бюджеты</w:t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Организация и проведение рейдовых мероприятий в рамках мероприятий земельного контроля либо межведомственных комиссий («мобильных групп») по выявлению неучтенных объектов недвижимого имущества (объектов капитального строительства и земельных участков) или уточнению характеристик по ранее учтенным объектам недвижимого имущества (объектам капитального строительства и земельным участкам) в целях дополнения сведений ЕГРН.</w:t>
            </w:r>
          </w:p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Информация о результатах работы органов местного самоуправления муниципальных образований представляется в Министерство финансов Свердловской области по форме согласно приложению к настоящему плану мероприятий (таблица 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имуществом и земельными ресурсами администрации Камышловского городского округа</w:t>
            </w:r>
          </w:p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Style37"/>
              <w:autoSpaceDE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</w:rPr>
              <w:t>вовлечение в налогооблагаемый (хозяйственный) оборот неучтенных земельных участков и обеспечение своевременного поступления земельного налога либо арендной платы в областной бюджет и (или) местные бюджеты</w:t>
            </w:r>
          </w:p>
        </w:tc>
      </w:tr>
      <w:tr>
        <w:trPr>
          <w:trHeight w:val="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19-1.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Организация и проведение мероприятий по выявлению фактов использования земельных участков без правовых оснований, направление предостережений и проведение претензионно-исковой работы по взысканию неосновательного обогащения с фактических землепользователей в соответствии с методическими рекомендациями органам местного самоуправления по взысканию неосновательного обогащения с лиц, использующих земельные участки без правовых оснований.</w:t>
            </w:r>
          </w:p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Информация о результатах проведенных мероприятий представляется в Министерство финансов Свердловской области по форме согласно приложению к настоящему плану мероприятий (таблица 8-1)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имуществом и земельными ресурсами администрации Камышловского городского округа</w:t>
            </w:r>
          </w:p>
          <w:p>
            <w:pPr>
              <w:pStyle w:val="Style37"/>
              <w:autoSpaceDE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</w:rPr>
              <w:t xml:space="preserve">полугодие, год, нарастающим итогом в течение </w:t>
            </w:r>
            <w:r>
              <w:rPr>
                <w:rStyle w:val="Style13"/>
                <w:rFonts w:ascii="Liberation Serif" w:hAnsi="Liberation Serif"/>
                <w:spacing w:val="-14"/>
              </w:rPr>
              <w:t>соответствующего</w:t>
            </w:r>
            <w:r>
              <w:rPr>
                <w:rStyle w:val="Style13"/>
                <w:rFonts w:ascii="Liberation Serif" w:hAnsi="Liberation Serif"/>
              </w:rPr>
              <w:t xml:space="preserve"> календарного года, до 20 числа месяца, следующего за отчетным периодом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</w:rPr>
              <w:t xml:space="preserve">увеличение неналоговых доходов местных бюджетов, стимулирование фактических 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землепользователей </w:t>
            </w:r>
            <w:r>
              <w:rPr>
                <w:rStyle w:val="Style13"/>
                <w:rFonts w:ascii="Liberation Serif" w:hAnsi="Liberation Serif"/>
              </w:rPr>
              <w:t>к оформлению правоустанавливающих документов на земельные участки</w:t>
            </w:r>
          </w:p>
        </w:tc>
      </w:tr>
      <w:tr>
        <w:trPr>
          <w:trHeight w:val="20" w:hRule="atLeast"/>
        </w:trPr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</w:tbl>
    <w:p>
      <w:pPr>
        <w:pStyle w:val="Style37"/>
        <w:rPr/>
      </w:pPr>
      <w:r>
        <w:rPr/>
      </w:r>
      <w:r>
        <w:br w:type="page"/>
      </w:r>
    </w:p>
    <w:p>
      <w:pPr>
        <w:pStyle w:val="Style37"/>
        <w:ind w:left="0" w:right="0" w:firstLine="10065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Приложение № 3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 постановлению администрации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Style37"/>
        <w:ind w:left="0" w:right="0" w:firstLine="10065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>12.05.2021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ascii="Liberation Serif" w:hAnsi="Liberation Serif"/>
          <w:sz w:val="28"/>
          <w:szCs w:val="28"/>
          <w:lang w:eastAsia="en-US"/>
        </w:rPr>
        <w:t>323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tbl>
      <w:tblPr>
        <w:tblW w:w="14459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7"/>
        <w:gridCol w:w="5814"/>
        <w:gridCol w:w="3118"/>
        <w:gridCol w:w="1844"/>
        <w:gridCol w:w="2836"/>
      </w:tblGrid>
      <w:tr>
        <w:trPr>
          <w:trHeight w:val="162" w:hRule="atLeast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Исполнители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</w:rPr>
              <w:t>Рекомендуемый срок исполнения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Ожидаемый результат</w:t>
            </w:r>
          </w:p>
        </w:tc>
      </w:tr>
    </w:tbl>
    <w:p>
      <w:pPr>
        <w:pStyle w:val="Style37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462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2"/>
        <w:gridCol w:w="5812"/>
        <w:gridCol w:w="3117"/>
        <w:gridCol w:w="1844"/>
        <w:gridCol w:w="2837"/>
      </w:tblGrid>
      <w:tr>
        <w:trPr>
          <w:tblHeader w:val="true"/>
          <w:trHeight w:val="59" w:hRule="atLeast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>
        <w:trPr>
          <w:trHeight w:val="20" w:hRule="atLeast"/>
        </w:trPr>
        <w:tc>
          <w:tcPr>
            <w:tcW w:w="144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59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7-1.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Организация контроля финансовой дисциплины подведомственных организаций, финансируемых из местного бюджета, в части полноты и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своевременности уплаты налогов и страховых взносов, принятие мер по погашению задолженности подведомственными учреждениями с последующим направлением информации о результатах работы в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Министерство финансов Свердловской области по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форме согласно приложению к настоящему плану мероприятий (таблица 2)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7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</w:rPr>
              <w:t>укрепление финансовой дисциплины организаций, финансируемых из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местного бюджета, а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также обеспечение поступлений в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к бюджет Камышловского городского округа за счет погашения задолженности</w:t>
            </w:r>
          </w:p>
        </w:tc>
      </w:tr>
      <w:tr>
        <w:trPr>
          <w:trHeight w:val="59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Cs/>
              </w:rPr>
              <w:t xml:space="preserve">11-1.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/>
            </w:pPr>
            <w:r>
              <w:rPr>
                <w:rStyle w:val="Style13"/>
                <w:rFonts w:ascii="Liberation Serif" w:hAnsi="Liberation Serif"/>
              </w:rPr>
              <w:t>Проведение мероприятий, направленных на работу с объектами недвижимого имущества, включенными в перечень объектов недвижимого имущества, в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отношении которых налоговая база по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налогу на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имущество организаций определяется как кадастровая стоимость, на 2021 год (приложение к постановлению Правительства Свердловской области от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10.12.2020 № 917-ПП «Об определении перечня объектов недвижимого имущества, в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отношении которых налоговая база по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налогу на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имущество организаций определяется как кадастровая стоимость, на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2021 год»), права на которые не зарегистрированы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Style37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 год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поступлений имущественных налогов</w:t>
            </w:r>
          </w:p>
        </w:tc>
      </w:tr>
    </w:tbl>
    <w:p>
      <w:pPr>
        <w:pStyle w:val="Style37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462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2"/>
        <w:gridCol w:w="5812"/>
        <w:gridCol w:w="3117"/>
        <w:gridCol w:w="1844"/>
        <w:gridCol w:w="2837"/>
      </w:tblGrid>
      <w:tr>
        <w:trPr>
          <w:trHeight w:val="59" w:hRule="atLeast"/>
        </w:trPr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autoSpaceDE w:val="false"/>
              <w:ind w:left="0" w:right="0" w:hanging="7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14-1.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мероприятий по подготовке к реализации положений Федерального закона от 30 декабря 2020 года № 518</w:t>
              <w:noBreakHyphen/>
              <w:t>ФЗ «О внесении изменений в отдельные законодательные акты Российской Федерации» в части реализации органами местного самоуправления полномочий по выявлению правообладателей ранее учтенных объектов недвижимости и мероприятий по обеспечению внесения в ЕГРН сведений о правообладателях ранее учтенных объектов недвижимости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имуществом и земельными ресурсами администрации Камышловского городского округа</w:t>
            </w:r>
          </w:p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архитектуры и градостроительства администрации Камышловского городского округа</w:t>
            </w:r>
          </w:p>
          <w:p>
            <w:pPr>
              <w:pStyle w:val="Style37"/>
              <w:autoSpaceDE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7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 июля 2021 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вовлечение </w:t>
            </w:r>
          </w:p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</w:rPr>
              <w:t>в налогооблагаемый (хозяйственный) оборот неучтенных объектов недвижимого имущества и обеспечение своевременного поступления имущественных налогов и неналоговых доходов от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его реализации или</w:t>
            </w:r>
            <w:r>
              <w:rPr>
                <w:rStyle w:val="Style13"/>
                <w:rFonts w:ascii="Liberation Serif" w:hAnsi="Liberation Serif"/>
                <w:lang w:val="en-US"/>
              </w:rPr>
              <w:t> </w:t>
            </w:r>
            <w:r>
              <w:rPr>
                <w:rStyle w:val="Style13"/>
                <w:rFonts w:ascii="Liberation Serif" w:hAnsi="Liberation Serif"/>
              </w:rPr>
              <w:t>использования</w:t>
            </w:r>
          </w:p>
        </w:tc>
      </w:tr>
    </w:tbl>
    <w:p>
      <w:pPr>
        <w:pStyle w:val="Style37"/>
        <w:ind w:left="0" w:right="0" w:firstLine="10348"/>
        <w:rPr>
          <w:rFonts w:ascii="Liberation Serif" w:hAnsi="Liberation Serif" w:eastAsia="Calibri"/>
          <w:lang w:eastAsia="en-US"/>
        </w:rPr>
      </w:pPr>
      <w:r>
        <w:rPr>
          <w:rFonts w:eastAsia="Calibri" w:ascii="Liberation Serif" w:hAnsi="Liberation Serif"/>
          <w:lang w:eastAsia="en-US"/>
        </w:rPr>
      </w:r>
    </w:p>
    <w:p>
      <w:pPr>
        <w:pStyle w:val="Style37"/>
        <w:jc w:val="center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  <w:r>
        <w:br w:type="page"/>
      </w:r>
    </w:p>
    <w:p>
      <w:pPr>
        <w:pStyle w:val="Style37"/>
        <w:ind w:left="0" w:right="0" w:firstLine="10065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Приложение № 4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 постановлению администрации 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Style37"/>
        <w:ind w:left="0" w:right="0" w:firstLine="10065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>12.05.2021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ascii="Liberation Serif" w:hAnsi="Liberation Serif"/>
          <w:sz w:val="28"/>
          <w:szCs w:val="28"/>
          <w:lang w:eastAsia="en-US"/>
        </w:rPr>
        <w:t>323</w:t>
      </w:r>
    </w:p>
    <w:p>
      <w:pPr>
        <w:pStyle w:val="Style37"/>
        <w:rPr/>
      </w:pPr>
      <w:r>
        <w:rPr/>
      </w:r>
    </w:p>
    <w:p>
      <w:pPr>
        <w:pStyle w:val="Style37"/>
        <w:rPr/>
      </w:pPr>
      <w:r>
        <w:rPr/>
      </w:r>
    </w:p>
    <w:tbl>
      <w:tblPr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  <w:gridCol w:w="4819"/>
      </w:tblGrid>
      <w:tr>
        <w:trPr/>
        <w:tc>
          <w:tcPr>
            <w:tcW w:w="10031" w:type="dxa"/>
            <w:tcBorders/>
            <w:shd w:fill="auto" w:val="clear"/>
          </w:tcPr>
          <w:p>
            <w:pPr>
              <w:pStyle w:val="Style37"/>
              <w:spacing w:lineRule="auto" w:line="228"/>
              <w:rPr/>
            </w:pPr>
            <w:r>
              <w:rPr>
                <w:rStyle w:val="Style13"/>
                <w:rFonts w:ascii="Liberation Serif" w:hAnsi="Liberation Serif"/>
              </w:rPr>
              <w:t>Форма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37"/>
              <w:spacing w:lineRule="auto" w:line="228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Таблица 1</w:t>
            </w:r>
          </w:p>
        </w:tc>
      </w:tr>
    </w:tbl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ind w:left="0" w:right="-17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ИНФОРМАЦИЯ</w:t>
      </w:r>
    </w:p>
    <w:p>
      <w:pPr>
        <w:pStyle w:val="Style37"/>
        <w:ind w:left="0" w:right="-17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органов местного самоуправления муниципальных образований по итогам работы межведомственных комиссий</w:t>
      </w:r>
    </w:p>
    <w:p>
      <w:pPr>
        <w:pStyle w:val="Style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4950" w:type="pct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716"/>
        <w:gridCol w:w="1402"/>
        <w:gridCol w:w="1541"/>
        <w:gridCol w:w="1962"/>
        <w:gridCol w:w="1962"/>
      </w:tblGrid>
      <w:tr>
        <w:trPr>
          <w:trHeight w:val="808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102" w:right="-7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102" w:right="-7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 отчетный период 20__ года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102" w:right="-7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102" w:right="-7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Рост (снижение) к аналогичному периоду прошлого года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102" w:right="-7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процентах к аналогичному периоду прошлого года</w:t>
            </w:r>
          </w:p>
        </w:tc>
      </w:tr>
    </w:tbl>
    <w:p>
      <w:pPr>
        <w:pStyle w:val="Style37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tbl>
      <w:tblPr>
        <w:tblW w:w="4950" w:type="pct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716"/>
        <w:gridCol w:w="1402"/>
        <w:gridCol w:w="1541"/>
        <w:gridCol w:w="1962"/>
        <w:gridCol w:w="1962"/>
      </w:tblGrid>
      <w:tr>
        <w:trPr>
          <w:tblHeader w:val="true"/>
          <w:trHeight w:val="167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pacing w:lineRule="exact" w:line="24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pacing w:lineRule="exact" w:line="24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pacing w:lineRule="exact" w:line="24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pacing w:lineRule="exact" w:line="24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pacing w:lineRule="exact" w:line="24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pacing w:lineRule="exact" w:line="24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6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pacing w:val="-4"/>
                <w:sz w:val="20"/>
                <w:szCs w:val="20"/>
              </w:rPr>
            </w:pPr>
            <w:r>
              <w:rPr>
                <w:rFonts w:ascii="Liberation Serif" w:hAnsi="Liberation Serif"/>
                <w:spacing w:val="-4"/>
                <w:sz w:val="20"/>
                <w:szCs w:val="20"/>
              </w:rPr>
              <w:t>Количество налогоплательщиков, приглашенных на заседания комиссий, всего</w:t>
            </w:r>
          </w:p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6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налогоплательщиков, заслушанных на комиссиях, всего</w:t>
            </w:r>
          </w:p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6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6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Результаты работы комиссий по вопросу легализации заработной платы</w:t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Сумма дополнительно исчисленного налога на доходы физических лиц, тыс. рублей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Сумма дополнительно поступившего в 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Style w:val="Style13"/>
                <w:rFonts w:ascii="Liberation Serif" w:hAnsi="Liberation Serif"/>
                <w:bCs/>
                <w:sz w:val="20"/>
                <w:szCs w:val="20"/>
              </w:rPr>
              <w:t>Результаты работы комиссий по вопросу снижения задолженности</w:t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хозяйствующих субъектов, погасивших задолженность полностью, единиц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хозяйствующих субъектов, погасивших задолженность частично, единиц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Сумма погашенной задолженности в консолидированный бюджет Свердловской области хозяйствующих субъектов, заслушанных на комиссиях, по состоянию на отчетную дату, всего, тыс. рублей</w:t>
            </w:r>
          </w:p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налогу на прибыль организаций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налогу на доходы физических лиц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налогу на имущество организаций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налогу, взимаемому в связи с применением упрощенной системы налогообложения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 единому налогу на вмененный доход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транспортному налогу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земельному налогу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налогу на добычу полезных ископаемых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прочим неналоговым доходам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Сумма погашенной задолженности по страховым взносам во внебюджетные фонды, тыс. рублей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sectPr>
          <w:headerReference w:type="even" r:id="rId4"/>
          <w:headerReference w:type="default" r:id="rId5"/>
          <w:headerReference w:type="first" r:id="rId6"/>
          <w:type w:val="nextPage"/>
          <w:pgSz w:orient="landscape" w:w="16838" w:h="11906"/>
          <w:pgMar w:left="1134" w:right="1134" w:header="709" w:top="1418" w:footer="0" w:bottom="709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Приложение № 5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 постановлению администрации 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Style37"/>
        <w:ind w:left="0" w:right="0" w:firstLine="10065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>12.05.2021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ascii="Liberation Serif" w:hAnsi="Liberation Serif"/>
          <w:sz w:val="28"/>
          <w:szCs w:val="28"/>
          <w:lang w:eastAsia="en-US"/>
        </w:rPr>
        <w:t>323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1-1</w:t>
      </w:r>
    </w:p>
    <w:p>
      <w:pPr>
        <w:pStyle w:val="Style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ИНФОРМАЦИЯ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о работе по вовлечению в налогооблагаемый оборот доходов от сдачи физическими лицами в аренду недвижимого имущества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в __________________________________________________________</w:t>
      </w:r>
    </w:p>
    <w:p>
      <w:pPr>
        <w:pStyle w:val="Style37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(наименование муниципального образования)</w:t>
      </w:r>
    </w:p>
    <w:p>
      <w:pPr>
        <w:pStyle w:val="Style37"/>
        <w:jc w:val="center"/>
        <w:rPr/>
      </w:pPr>
      <w:r>
        <w:rPr>
          <w:rStyle w:val="Style13"/>
          <w:rFonts w:ascii="Liberation Serif" w:hAnsi="Liberation Serif"/>
          <w:b/>
        </w:rPr>
        <w:t>за ____________________________________________</w:t>
      </w:r>
    </w:p>
    <w:p>
      <w:pPr>
        <w:pStyle w:val="Style37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>
      <w:pPr>
        <w:pStyle w:val="Style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4900" w:type="pct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762"/>
        <w:gridCol w:w="2207"/>
        <w:gridCol w:w="2360"/>
        <w:gridCol w:w="1959"/>
      </w:tblGrid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 отчетный период</w:t>
            </w:r>
          </w:p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20__ года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Рост (снижение)</w:t>
              <w:br/>
              <w:t>к аналогичному</w:t>
              <w:br/>
              <w:t>периоду</w:t>
              <w:br/>
              <w:t>прошлого года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проведенных заседаний рабочих групп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объектов, в отношении которых поступила информация о фактах сдачи физическими лицами недвижимого имущества, всего</w:t>
            </w:r>
          </w:p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них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 организаций, осуществляющих управление многоквартирными домами (управляющие компании и товарищества собственников жилья)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результате обращений на горячую линию (телефон доверия)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других источников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объектов, в отношении которых поступила информация о фактах сдачи физическими лицами недвижимого имущества, сведения по которым направленны в территориальные налоговые органы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sectPr>
          <w:headerReference w:type="even" r:id="rId7"/>
          <w:headerReference w:type="default" r:id="rId8"/>
          <w:headerReference w:type="first" r:id="rId9"/>
          <w:type w:val="nextPage"/>
          <w:pgSz w:orient="landscape" w:w="16838" w:h="11906"/>
          <w:pgMar w:left="1134" w:right="1134" w:header="709" w:top="1418" w:footer="0" w:bottom="709" w:gutter="0"/>
          <w:pgNumType w:fmt="decimal"/>
          <w:formProt w:val="false"/>
          <w:titlePg/>
          <w:textDirection w:val="lrTb"/>
          <w:docGrid w:type="default" w:linePitch="600" w:charSpace="40960"/>
        </w:sectPr>
      </w:pPr>
    </w:p>
    <w:p>
      <w:pPr>
        <w:pStyle w:val="Style37"/>
        <w:ind w:left="0" w:right="0" w:firstLine="10065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Приложение № 6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 постановлению администрации 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Style37"/>
        <w:ind w:left="0" w:right="0" w:firstLine="10065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>12.05.2021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ascii="Liberation Serif" w:hAnsi="Liberation Serif"/>
          <w:sz w:val="28"/>
          <w:szCs w:val="28"/>
          <w:lang w:eastAsia="en-US"/>
        </w:rPr>
        <w:t>323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5</w:t>
      </w:r>
    </w:p>
    <w:p>
      <w:pPr>
        <w:pStyle w:val="Style3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ИНФОРМАЦИЯ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о проведении инвентаризации муниципального имущества, переданного в хозяйственное ведение муниципальным унитарным предприятиям и оперативное управление бюджетным учреждениям, находящегося в безвозмездном пользовании,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за _________________________________________________</w:t>
      </w:r>
    </w:p>
    <w:p>
      <w:pPr>
        <w:pStyle w:val="Style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(I квартал, первое полугодие, 9 месяцев, год)</w:t>
      </w:r>
    </w:p>
    <w:p>
      <w:pPr>
        <w:pStyle w:val="Style37"/>
        <w:jc w:val="center"/>
        <w:rPr>
          <w:rFonts w:ascii="Liberation Serif" w:hAnsi="Liberation Serif"/>
          <w:b/>
          <w:b/>
          <w:color w:val="000000"/>
          <w:highlight w:val="yellow"/>
        </w:rPr>
      </w:pPr>
      <w:r>
        <w:rPr>
          <w:rFonts w:ascii="Liberation Serif" w:hAnsi="Liberation Serif"/>
          <w:b/>
          <w:color w:val="000000"/>
          <w:highlight w:val="yellow"/>
        </w:rPr>
      </w:r>
    </w:p>
    <w:p>
      <w:pPr>
        <w:pStyle w:val="Style37"/>
        <w:jc w:val="center"/>
        <w:rPr>
          <w:rFonts w:ascii="Liberation Serif" w:hAnsi="Liberation Serif"/>
          <w:b/>
          <w:b/>
          <w:color w:val="000000"/>
          <w:highlight w:val="yellow"/>
        </w:rPr>
      </w:pPr>
      <w:r>
        <w:rPr>
          <w:rFonts w:ascii="Liberation Serif" w:hAnsi="Liberation Serif"/>
          <w:b/>
          <w:color w:val="000000"/>
          <w:highlight w:val="yellow"/>
        </w:rPr>
      </w:r>
    </w:p>
    <w:tbl>
      <w:tblPr>
        <w:tblW w:w="4900" w:type="pct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705"/>
        <w:gridCol w:w="1769"/>
        <w:gridCol w:w="1812"/>
        <w:gridCol w:w="1511"/>
        <w:gridCol w:w="1654"/>
        <w:gridCol w:w="1654"/>
        <w:gridCol w:w="2091"/>
      </w:tblGrid>
      <w:tr>
        <w:trPr/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Общее количество объектов капитального строительства (зданий, помещений, сооружений), находящихся в муниципальной собственности, переданных в хозяйственное ведение, оперативное управление, безвозмездное пользование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них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объектов капитального строительства (из графы 1), в отношении которых проведена инвентаризация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них полностью или частично используемые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Среднегодовая стоимость объектов капитального строительства, в отношении которых проведена инвентаризация (из графы 4)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Принимаемые меры в отношении неиспользуемого имущества</w:t>
            </w:r>
          </w:p>
        </w:tc>
      </w:tr>
      <w:tr>
        <w:trPr/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объектов капитального строительства, переданных в хозяйственное ведение, оперативное управление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объектов капитального строительства, переданных в безвозмездное пользование</w:t>
            </w:r>
          </w:p>
        </w:tc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используемые в хозяйственной деятельности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используемые в хозяйственной деятельности</w:t>
            </w:r>
          </w:p>
        </w:tc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708"/>
              </w:tabs>
              <w:autoSpaceDE w:val="false"/>
              <w:ind w:left="-108" w:right="-108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sectPr>
          <w:headerReference w:type="even" r:id="rId10"/>
          <w:headerReference w:type="default" r:id="rId11"/>
          <w:type w:val="nextPage"/>
          <w:pgSz w:orient="landscape" w:w="16838" w:h="11906"/>
          <w:pgMar w:left="1134" w:right="1134" w:header="709" w:top="1418" w:footer="0" w:bottom="709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3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Приложение № 7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 постановлению администрации </w:t>
      </w:r>
    </w:p>
    <w:p>
      <w:pPr>
        <w:pStyle w:val="Style37"/>
        <w:ind w:left="0" w:right="0" w:firstLine="10065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Style37"/>
        <w:ind w:left="0" w:right="0" w:firstLine="10065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>12.05.2021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ascii="Liberation Serif" w:hAnsi="Liberation Serif"/>
          <w:sz w:val="28"/>
          <w:szCs w:val="28"/>
          <w:lang w:eastAsia="en-US"/>
        </w:rPr>
        <w:t>323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tbl>
      <w:tblPr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9356"/>
      </w:tblGrid>
      <w:tr>
        <w:trPr/>
        <w:tc>
          <w:tcPr>
            <w:tcW w:w="5353" w:type="dxa"/>
            <w:tcBorders/>
            <w:shd w:fill="auto" w:val="clear"/>
          </w:tcPr>
          <w:p>
            <w:pPr>
              <w:pStyle w:val="Style37"/>
              <w:spacing w:lineRule="auto" w:line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</w:t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Style37"/>
              <w:spacing w:lineRule="auto" w:line="228"/>
              <w:ind w:left="0" w:right="-108" w:hanging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Таблица 8</w:t>
            </w:r>
          </w:p>
        </w:tc>
      </w:tr>
    </w:tbl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ИНФОРМАЦИЯ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о работе по дополнительной мобилизации имущественных налогов и арендных платежей за землю в бюджет </w:t>
      </w:r>
    </w:p>
    <w:p>
      <w:pPr>
        <w:pStyle w:val="Style37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муниципального образования _____________________________________</w:t>
      </w:r>
    </w:p>
    <w:p>
      <w:pPr>
        <w:pStyle w:val="Style37"/>
        <w:ind w:left="0" w:right="0" w:firstLine="694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(наименование муниципального образования)</w:t>
      </w:r>
    </w:p>
    <w:p>
      <w:pPr>
        <w:pStyle w:val="Style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4950" w:type="pct"/>
        <w:jc w:val="left"/>
        <w:tblInd w:w="199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0"/>
        <w:gridCol w:w="6056"/>
        <w:gridCol w:w="1780"/>
        <w:gridCol w:w="1868"/>
        <w:gridCol w:w="1921"/>
        <w:gridCol w:w="1969"/>
      </w:tblGrid>
      <w:tr>
        <w:trPr>
          <w:trHeight w:val="916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6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59" w:right="-56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 отчетный</w:t>
              <w:br/>
              <w:t>период</w:t>
              <w:br/>
              <w:t>20__ года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08"/>
              </w:tabs>
              <w:ind w:left="-58" w:right="-85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 аналогичный</w:t>
              <w:br/>
              <w:t xml:space="preserve">период </w:t>
              <w:br/>
              <w:t>прошлого</w:t>
            </w:r>
          </w:p>
          <w:p>
            <w:pPr>
              <w:pStyle w:val="Style37"/>
              <w:tabs>
                <w:tab w:val="clear" w:pos="708"/>
              </w:tabs>
              <w:ind w:left="-58" w:right="-85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Рост (снижение) в сумме к аналогичному периоду прошлого года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процентах </w:t>
            </w:r>
          </w:p>
          <w:p>
            <w:pPr>
              <w:pStyle w:val="Style37"/>
              <w:tabs>
                <w:tab w:val="clear" w:pos="708"/>
              </w:tabs>
              <w:ind w:left="-57" w:right="-5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 аналогичному периоду </w:t>
              <w:br/>
              <w:t>прошлого года</w:t>
            </w:r>
          </w:p>
        </w:tc>
      </w:tr>
    </w:tbl>
    <w:p>
      <w:pPr>
        <w:pStyle w:val="Style37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950" w:type="pct"/>
        <w:jc w:val="left"/>
        <w:tblInd w:w="199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4"/>
        <w:gridCol w:w="6006"/>
        <w:gridCol w:w="1794"/>
        <w:gridCol w:w="1880"/>
        <w:gridCol w:w="1930"/>
        <w:gridCol w:w="1980"/>
      </w:tblGrid>
      <w:tr>
        <w:trPr>
          <w:tblHeader w:val="true"/>
          <w:trHeight w:val="158" w:hRule="atLeast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земельных участков, расположенных на территории муниципального образования, всего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земельных участков, сведения о которых внесены в Единый государственный реестр недвижимости, всего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проведенных мероприятий в рамках муниципального земельного контроля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земельных участков, в отношении которых проведены мероприятия муниципального земельного контроля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материалов проверок, сформированных в рамках муниципального земельного контроля и переданных в надзорные органы для принятия мер,</w:t>
            </w:r>
          </w:p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 статьям 7.1 и 19.1 Кодекса Российской Федерации об административных правонарушениях 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 статье 8.8 Кодекса Российской Федерации об административных правонарушениях </w:t>
            </w:r>
          </w:p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уведомлений (предписаний) о необходимости оформления права собственности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вынесенных предостережений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1306" w:hRule="atLeast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6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выявленных земельных участков, фактически используемых гражданами и юридическими лицами без оформления в установленном порядке правоустанавливающих документов (право собственности на которые не оформлено и отсутствуют арендные отношения),</w:t>
            </w:r>
          </w:p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804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/>
            </w:pPr>
            <w:r>
              <w:rPr>
                <w:rStyle w:val="Style13"/>
                <w:rFonts w:ascii="Liberation Serif" w:hAnsi="Liberation Serif"/>
                <w:sz w:val="20"/>
                <w:szCs w:val="20"/>
              </w:rPr>
              <w:t>количество земельных участков, в отношении которых земельный контроль был проведен в предыдущие годы, при этом права оформлены в текущем отчетном периоде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лиц, зарегистрировавших право собственности на выявленные земельные участки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лиц, оформивших договоры аренды на выявленные земельные участки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выявленных объектов недвижимого имущества, на которые не оформлены правоустанавливающие документы в установленном порядке,</w:t>
            </w:r>
          </w:p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 них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лиц, зарегистрировавших право собственности на выявленные объекты недвижимого имущества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Style37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3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sectPr>
      <w:headerReference w:type="even" r:id="rId12"/>
      <w:headerReference w:type="default" r:id="rId13"/>
      <w:type w:val="nextPage"/>
      <w:pgSz w:orient="landscape" w:w="16838" w:h="11906"/>
      <w:pgMar w:left="1134" w:right="1134" w:header="567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Constant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39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3.8pt;mso-wrap-distance-left:0pt;mso-wrap-distance-right:0pt;mso-wrap-distance-top:0pt;mso-wrap-distance-bottom:0pt;margin-top:0.05pt;mso-position-vertical-relative:text;margin-left:363.7pt;mso-position-horizontal:center;mso-position-horizontal-relative:margin">
              <v:textbox inset="0in,0in,0in,0in">
                <w:txbxContent>
                  <w:p>
                    <w:pPr>
                      <w:pStyle w:val="Style3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3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3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9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3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>
        <w:rStyle w:val="Style13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3"/>
        <w:sz w:val="28"/>
        <w:szCs w:val="28"/>
        <w:rFonts w:cs="Liberation Serif" w:ascii="Liberation Serif" w:hAnsi="Liberation Serif"/>
      </w:rPr>
      <w:instrText> PAGE </w:instrText>
    </w:r>
    <w:r>
      <w:rPr>
        <w:rStyle w:val="Style13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3"/>
        <w:sz w:val="28"/>
        <w:szCs w:val="28"/>
        <w:rFonts w:cs="Liberation Serif" w:ascii="Liberation Serif" w:hAnsi="Liberation Serif"/>
      </w:rPr>
      <w:t>13</w:t>
    </w:r>
    <w:r>
      <w:rPr>
        <w:rStyle w:val="Style13"/>
        <w:sz w:val="28"/>
        <w:szCs w:val="28"/>
        <w:rFonts w:cs="Liberation Serif" w:ascii="Liberation Serif" w:hAnsi="Liberation Serif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39"/>
      <w:jc w:val="center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39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>
        <w:rStyle w:val="Style13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3"/>
        <w:sz w:val="28"/>
        <w:szCs w:val="28"/>
        <w:rFonts w:cs="Liberation Serif" w:ascii="Liberation Serif" w:hAnsi="Liberation Serif"/>
      </w:rPr>
      <w:instrText> PAGE </w:instrText>
    </w:r>
    <w:r>
      <w:rPr>
        <w:rStyle w:val="Style13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3"/>
        <w:sz w:val="28"/>
        <w:szCs w:val="28"/>
        <w:rFonts w:cs="Liberation Serif" w:ascii="Liberation Serif" w:hAnsi="Liberation Serif"/>
      </w:rPr>
      <w:t>13</w:t>
    </w:r>
    <w:r>
      <w:rPr>
        <w:rStyle w:val="Style13"/>
        <w:sz w:val="28"/>
        <w:szCs w:val="28"/>
        <w:rFonts w:cs="Liberation Serif" w:ascii="Liberation Serif" w:hAnsi="Liberation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37"/>
    <w:next w:val="Style37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Номер строки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qFormat/>
    <w:rPr>
      <w:sz w:val="24"/>
      <w:szCs w:val="24"/>
    </w:rPr>
  </w:style>
  <w:style w:type="character" w:styleId="Style19">
    <w:name w:val="Нижний колонтитул Знак"/>
    <w:qFormat/>
    <w:rPr>
      <w:rFonts w:ascii="Calibri" w:hAnsi="Calibri" w:eastAsia="Calibri"/>
      <w:sz w:val="22"/>
      <w:szCs w:val="22"/>
      <w:lang w:eastAsia="en-US"/>
    </w:rPr>
  </w:style>
  <w:style w:type="character" w:styleId="Style20">
    <w:name w:val="Замещающий текст"/>
    <w:qFormat/>
    <w:rPr>
      <w:color w:val="808080"/>
    </w:rPr>
  </w:style>
  <w:style w:type="character" w:styleId="Style21">
    <w:name w:val="Текст сноски Знак"/>
    <w:basedOn w:val="Style13"/>
    <w:qFormat/>
    <w:rPr/>
  </w:style>
  <w:style w:type="character" w:styleId="Style22">
    <w:name w:val="Знак сноски"/>
    <w:rPr>
      <w:position w:val="7"/>
      <w:sz w:val="13"/>
    </w:rPr>
  </w:style>
  <w:style w:type="character" w:styleId="Style23">
    <w:name w:val="Текст концевой сноски Знак"/>
    <w:basedOn w:val="Style13"/>
    <w:qFormat/>
    <w:rPr/>
  </w:style>
  <w:style w:type="character" w:styleId="Style24">
    <w:name w:val="Знак концевой сноски"/>
    <w:rPr>
      <w:position w:val="7"/>
      <w:sz w:val="13"/>
    </w:rPr>
  </w:style>
  <w:style w:type="character" w:styleId="Style25">
    <w:name w:val="Текст примечания Знак"/>
    <w:basedOn w:val="Style13"/>
    <w:qFormat/>
    <w:rPr/>
  </w:style>
  <w:style w:type="character" w:styleId="11">
    <w:name w:val="Заголовок 1 Знак"/>
    <w:qFormat/>
    <w:rPr>
      <w:rFonts w:ascii="Cambria" w:hAnsi="Cambria"/>
      <w:b/>
      <w:bCs/>
      <w:kern w:val="2"/>
      <w:sz w:val="32"/>
      <w:szCs w:val="32"/>
    </w:rPr>
  </w:style>
  <w:style w:type="character" w:styleId="Style26">
    <w:name w:val="Название Знак"/>
    <w:qFormat/>
    <w:rPr>
      <w:b/>
      <w:sz w:val="28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27">
    <w:name w:val="Схема документа Знак"/>
    <w:qFormat/>
    <w:rPr>
      <w:rFonts w:ascii="Tahoma" w:hAnsi="Tahoma" w:cs="Tahoma"/>
      <w:sz w:val="24"/>
      <w:szCs w:val="24"/>
      <w:highlight w:val="darkBlue"/>
    </w:rPr>
  </w:style>
  <w:style w:type="character" w:styleId="Style28">
    <w:name w:val="Знак примечания"/>
    <w:qFormat/>
    <w:rPr>
      <w:sz w:val="16"/>
      <w:szCs w:val="16"/>
    </w:rPr>
  </w:style>
  <w:style w:type="character" w:styleId="Style29">
    <w:name w:val="Тема примечания Знак"/>
    <w:qFormat/>
    <w:rPr>
      <w:b/>
      <w:bCs/>
    </w:rPr>
  </w:style>
  <w:style w:type="character" w:styleId="Style30">
    <w:name w:val="Основной текст_"/>
    <w:qFormat/>
    <w:rPr>
      <w:spacing w:val="-1"/>
      <w:sz w:val="13"/>
      <w:szCs w:val="13"/>
      <w:highlight w:val="white"/>
    </w:rPr>
  </w:style>
  <w:style w:type="character" w:styleId="7pt">
    <w:name w:val="Основной текст + 7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position w:val="0"/>
      <w:sz w:val="14"/>
      <w:sz w:val="14"/>
      <w:szCs w:val="14"/>
      <w:u w:val="none"/>
      <w:vertAlign w:val="baseline"/>
      <w:lang w:val="ru-RU"/>
    </w:rPr>
  </w:style>
  <w:style w:type="character" w:styleId="6pt0pt">
    <w:name w:val="Основной текст + 6 pt;Полужирный;Интервал 0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position w:val="0"/>
      <w:sz w:val="12"/>
      <w:sz w:val="12"/>
      <w:szCs w:val="12"/>
      <w:highlight w:val="white"/>
      <w:u w:val="none"/>
      <w:vertAlign w:val="baseline"/>
      <w:lang w:val="ru-RU"/>
    </w:rPr>
  </w:style>
  <w:style w:type="character" w:styleId="Constantia6pt0pt">
    <w:name w:val="Основной текст + Constantia;6 pt;Интервал 0 pt"/>
    <w:qFormat/>
    <w:rPr>
      <w:rFonts w:ascii="Constantia" w:hAnsi="Constantia" w:eastAsia="Constantia" w:cs="Constant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7"/>
      <w:w w:val="100"/>
      <w:position w:val="0"/>
      <w:sz w:val="12"/>
      <w:sz w:val="12"/>
      <w:szCs w:val="12"/>
      <w:highlight w:val="white"/>
      <w:u w:val="none"/>
      <w:vertAlign w:val="baseline"/>
      <w:lang w:val="ru-RU"/>
    </w:rPr>
  </w:style>
  <w:style w:type="character" w:styleId="WWCharLFO7LVL1">
    <w:name w:val="WW_CharLFO7LVL1"/>
    <w:qFormat/>
    <w:rPr>
      <w:color w:val="FF0000"/>
    </w:rPr>
  </w:style>
  <w:style w:type="character" w:styleId="Style31">
    <w:name w:val="Привязка сноски"/>
    <w:qFormat/>
    <w:rPr>
      <w:vertAlign w:val="superscript"/>
    </w:rPr>
  </w:style>
  <w:style w:type="character" w:styleId="Style32">
    <w:name w:val="Символ сноски"/>
    <w:qFormat/>
    <w:rPr/>
  </w:style>
  <w:style w:type="character" w:styleId="Style33">
    <w:name w:val="Привязка концевой сноски"/>
    <w:qFormat/>
    <w:rPr>
      <w:vertAlign w:val="superscript"/>
    </w:rPr>
  </w:style>
  <w:style w:type="character" w:styleId="Style34">
    <w:name w:val="Символ концевой сноски"/>
    <w:qFormat/>
    <w:rPr/>
  </w:style>
  <w:style w:type="paragraph" w:styleId="Style35">
    <w:name w:val="Заголовок"/>
    <w:basedOn w:val="Normal"/>
    <w:next w:val="Style3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36">
    <w:name w:val="Body Text"/>
    <w:basedOn w:val="Style37"/>
    <w:pPr>
      <w:suppressAutoHyphens w:val="true"/>
      <w:spacing w:before="0" w:after="120"/>
    </w:pPr>
    <w:rPr/>
  </w:style>
  <w:style w:type="paragraph" w:styleId="Style3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2">
    <w:name w:val="Стиль1"/>
    <w:basedOn w:val="Style36"/>
    <w:qFormat/>
    <w:pPr>
      <w:suppressAutoHyphens w:val="true"/>
      <w:spacing w:before="0" w:after="0"/>
      <w:ind w:left="0" w:right="0" w:firstLine="709"/>
      <w:jc w:val="both"/>
    </w:pPr>
    <w:rPr>
      <w:sz w:val="28"/>
    </w:rPr>
  </w:style>
  <w:style w:type="paragraph" w:styleId="Style3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9">
    <w:name w:val="Header"/>
    <w:basedOn w:val="Style3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40">
    <w:name w:val="Текст выноски"/>
    <w:basedOn w:val="Style3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41">
    <w:name w:val="Абзац списка"/>
    <w:basedOn w:val="Style37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42">
    <w:name w:val="Footer"/>
    <w:basedOn w:val="Style37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ascii="Calibri" w:hAnsi="Calibri" w:eastAsia="Calibri"/>
      <w:sz w:val="22"/>
      <w:szCs w:val="22"/>
      <w:lang w:eastAsia="en-US"/>
    </w:rPr>
  </w:style>
  <w:style w:type="paragraph" w:styleId="Style4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44">
    <w:name w:val="Обычный (веб)"/>
    <w:basedOn w:val="Style37"/>
    <w:qFormat/>
    <w:pPr>
      <w:suppressAutoHyphens w:val="true"/>
      <w:spacing w:before="100" w:after="100"/>
    </w:pPr>
    <w:rPr/>
  </w:style>
  <w:style w:type="paragraph" w:styleId="13">
    <w:name w:val=" Знак Знак1"/>
    <w:basedOn w:val="Style37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14">
    <w:name w:val="1"/>
    <w:basedOn w:val="Style37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45">
    <w:name w:val="Текст сноски"/>
    <w:basedOn w:val="Style37"/>
    <w:qFormat/>
    <w:pPr>
      <w:suppressAutoHyphens w:val="true"/>
    </w:pPr>
    <w:rPr>
      <w:sz w:val="20"/>
      <w:szCs w:val="20"/>
    </w:rPr>
  </w:style>
  <w:style w:type="paragraph" w:styleId="Style46">
    <w:name w:val="Текст концевой сноски"/>
    <w:basedOn w:val="Style37"/>
    <w:qFormat/>
    <w:pPr>
      <w:suppressAutoHyphens w:val="true"/>
    </w:pPr>
    <w:rPr>
      <w:sz w:val="20"/>
      <w:szCs w:val="20"/>
    </w:rPr>
  </w:style>
  <w:style w:type="paragraph" w:styleId="15">
    <w:name w:val=" Знак Знак1 Знак"/>
    <w:basedOn w:val="Style37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47">
    <w:name w:val="Текст примечания"/>
    <w:basedOn w:val="Style37"/>
    <w:qFormat/>
    <w:pPr>
      <w:suppressAutoHyphens w:val="true"/>
    </w:pPr>
    <w:rPr>
      <w:sz w:val="20"/>
      <w:szCs w:val="20"/>
    </w:rPr>
  </w:style>
  <w:style w:type="paragraph" w:styleId="Style48">
    <w:name w:val="Caption"/>
    <w:basedOn w:val="Style37"/>
    <w:qFormat/>
    <w:pPr>
      <w:suppressAutoHyphens w:val="true"/>
      <w:jc w:val="center"/>
    </w:pPr>
    <w:rPr>
      <w:b/>
      <w:sz w:val="28"/>
      <w:szCs w:val="20"/>
    </w:rPr>
  </w:style>
  <w:style w:type="paragraph" w:styleId="Style49">
    <w:name w:val=" Знак Знак"/>
    <w:basedOn w:val="Style37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 Знак Знак3 Знак"/>
    <w:basedOn w:val="Style37"/>
    <w:next w:val="Style37"/>
    <w:autoRedefine/>
    <w:qFormat/>
    <w:pPr>
      <w:suppressAutoHyphens w:val="true"/>
      <w:spacing w:lineRule="exact" w:line="240" w:before="0" w:after="160"/>
    </w:pPr>
    <w:rPr>
      <w:sz w:val="28"/>
      <w:lang w:val="en-US" w:eastAsia="en-US"/>
    </w:rPr>
  </w:style>
  <w:style w:type="paragraph" w:styleId="Style50">
    <w:name w:val="Схема документа"/>
    <w:basedOn w:val="Style37"/>
    <w:qFormat/>
    <w:pPr>
      <w:shd w:fill="000080" w:val="clear"/>
      <w:suppressAutoHyphens w:val="true"/>
    </w:pPr>
    <w:rPr>
      <w:rFonts w:ascii="Tahoma" w:hAnsi="Tahoma" w:cs="Tahoma"/>
    </w:rPr>
  </w:style>
  <w:style w:type="paragraph" w:styleId="16">
    <w:name w:val=" Знак Знак1 Знак Знак Знак Знак Знак Знак Знак"/>
    <w:basedOn w:val="Style37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51">
    <w:name w:val=" Знак Знак Знак Знак Знак Знак Знак Знак"/>
    <w:basedOn w:val="Style37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52">
    <w:name w:val=" Знак Знак Знак Знак Знак Знак"/>
    <w:basedOn w:val="Style37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 Знак Знак3 Знак Знак"/>
    <w:basedOn w:val="Style37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53">
    <w:name w:val="Тема примечания"/>
    <w:basedOn w:val="Style47"/>
    <w:next w:val="Style47"/>
    <w:qFormat/>
    <w:pPr>
      <w:suppressAutoHyphens w:val="true"/>
    </w:pPr>
    <w:rPr>
      <w:b/>
      <w:bCs/>
    </w:rPr>
  </w:style>
  <w:style w:type="paragraph" w:styleId="Style54">
    <w:name w:val="Рецензия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BodyTextIndent3">
    <w:name w:val="Body Text Indent 3"/>
    <w:basedOn w:val="Style37"/>
    <w:qFormat/>
    <w:pPr>
      <w:tabs>
        <w:tab w:val="clear" w:pos="708"/>
      </w:tabs>
      <w:suppressAutoHyphens w:val="true"/>
      <w:overflowPunct w:val="false"/>
      <w:autoSpaceDE w:val="false"/>
      <w:ind w:left="-426" w:right="0" w:firstLine="786"/>
      <w:jc w:val="both"/>
    </w:pPr>
    <w:rPr>
      <w:szCs w:val="20"/>
    </w:rPr>
  </w:style>
  <w:style w:type="paragraph" w:styleId="311">
    <w:name w:val="Основной текст с отступом 31"/>
    <w:basedOn w:val="Style37"/>
    <w:qFormat/>
    <w:pPr>
      <w:tabs>
        <w:tab w:val="clear" w:pos="708"/>
      </w:tabs>
      <w:suppressAutoHyphens w:val="true"/>
      <w:overflowPunct w:val="false"/>
      <w:autoSpaceDE w:val="false"/>
      <w:ind w:left="-426" w:right="0" w:firstLine="786"/>
      <w:jc w:val="both"/>
      <w:textAlignment w:val="baseline"/>
    </w:pPr>
    <w:rPr>
      <w:szCs w:val="20"/>
    </w:rPr>
  </w:style>
  <w:style w:type="paragraph" w:styleId="17">
    <w:name w:val="Основной текст1"/>
    <w:basedOn w:val="Style37"/>
    <w:qFormat/>
    <w:pPr>
      <w:widowControl w:val="false"/>
      <w:shd w:fill="FFFFFF" w:val="clear"/>
      <w:suppressAutoHyphens w:val="true"/>
      <w:spacing w:lineRule="auto"/>
      <w:ind w:left="0" w:right="0" w:hanging="220"/>
      <w:jc w:val="both"/>
    </w:pPr>
    <w:rPr>
      <w:spacing w:val="-1"/>
      <w:sz w:val="13"/>
      <w:szCs w:val="13"/>
    </w:rPr>
  </w:style>
  <w:style w:type="paragraph" w:styleId="Style55">
    <w:name w:val="Содержимое врезки"/>
    <w:basedOn w:val="Normal"/>
    <w:qFormat/>
    <w:pPr/>
    <w:rPr/>
  </w:style>
  <w:style w:type="paragraph" w:styleId="Style5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15</Pages>
  <Words>2513</Words>
  <CharactersWithSpaces>20299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2021-05-05T04:52:00Z</dcterms:created>
  <dc:creator>AnnaAlek</dc:creator>
  <dc:description/>
  <dc:language>ru-RU</dc:language>
  <cp:lastModifiedBy/>
  <cp:lastPrinted>2021-05-12T14:36:07Z</cp:lastPrinted>
  <dcterms:modified xsi:type="dcterms:W3CDTF">2021-05-12T14:36:47Z</dcterms:modified>
  <cp:revision>4</cp:revision>
  <dc:subject/>
  <dc:title>ОБ ОЦЕНКЕ КАЧЕСТВА ФИНАНСОВОГО МЕНЕДЖМЕНТА</dc:title>
</cp:coreProperties>
</file>