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1965" cy="7531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62" t="-622" r="-962" b="-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  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9"/>
        <w:keepNext w:val="false"/>
        <w:keepLines w:val="false"/>
        <w:pageBreakBefore w:val="false"/>
        <w:widowControl w:val="false"/>
        <w:pBdr>
          <w:top w:val="double" w:sz="12" w:space="1" w:color="000000"/>
        </w:pBdr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276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11.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  <w:lang w:eastAsia="ru-RU"/>
        </w:rPr>
        <w:t>11.2021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  N 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20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Положение об оплате труда руководителей учреждений, </w:t>
      </w:r>
      <w:bookmarkStart w:id="0" w:name="__DdeLink__29355_3585753664"/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в отношении которых администрация Камышловского городского округа осуществляет функции и полномочия учредителя </w:t>
      </w:r>
    </w:p>
    <w:p>
      <w:pPr>
        <w:pStyle w:val="ConsPlusTitle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и является главным распорядителем средств местного бюджета</w:t>
      </w:r>
      <w:bookmarkEnd w:id="0"/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, утвержденное постановлением администрации </w:t>
      </w:r>
    </w:p>
    <w:p>
      <w:pPr>
        <w:pStyle w:val="ConsPlusTitle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Камышловского городского округа от 23.09.2019 N 816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В соответствии с Трудовым </w:t>
      </w:r>
      <w:r>
        <w:rPr>
          <w:rStyle w:val="ListLabel11"/>
        </w:rPr>
        <w:t>кодексом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Российской Федерации, в целях совершенствования системы оплаты труда руководителей учреждений, в отношении которых функции и полномочия учредителя осуществляет администрация Камышловского городского округа, администрация Камышловского городского округа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Title"/>
        <w:ind w:left="0" w:right="0" w:firstLine="709"/>
        <w:jc w:val="both"/>
        <w:rPr/>
      </w:pPr>
      <w:r>
        <w:rPr>
          <w:rStyle w:val="Style14"/>
          <w:rFonts w:ascii="Liberation Serif" w:hAnsi="Liberation Serif"/>
          <w:b w:val="false"/>
          <w:sz w:val="28"/>
          <w:szCs w:val="28"/>
        </w:rPr>
        <w:t xml:space="preserve">1. Внести в Положение об оплате труда руководителей муниципальных учреждений, в отношении которых </w:t>
      </w:r>
      <w:r>
        <w:rPr>
          <w:rStyle w:val="Style14"/>
          <w:rFonts w:ascii="Liberation Serif" w:hAnsi="Liberation Serif"/>
          <w:b w:val="false"/>
          <w:color w:val="000000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бюджета, утвержденное постановлением администрации Камышловского городского округа от 23.09.2019 N 816, следующие изменения: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1.1. В пункте 1.9. слова «от 1 до 8» заменить на слова «от 1 до 6».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1.2. Пункт 2.1. дополнить абзацами: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«К размеру оклада руководителя учреждения применяется коэффициент, определяемый согласно системы критериев для расчета коэффициента для определения размера оклада руководителей учреждений, 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 (Приложение 1).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Индексация размера должностного оклада руководителя учреждения производится в соответствие с трудовым законодательством Российской Федерации».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1.3. В пункте 2.2. слова «от 1 до 8» заменить на слова «от 1 до 6».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1.4.  Пункт 2.1. Целевых показателей эффективности деятельности руководителей учреждений, в отношении которых функции и полномочия учредителя осуществляет администрация Камышловского городского округа, изложить в следующей редакции: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</w:r>
    </w:p>
    <w:tbl>
      <w:tblPr>
        <w:tblW w:w="5000" w:type="pct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2"/>
        <w:gridCol w:w="1698"/>
        <w:gridCol w:w="3792"/>
        <w:gridCol w:w="3039"/>
        <w:gridCol w:w="667"/>
      </w:tblGrid>
      <w:tr>
        <w:trPr>
          <w:trHeight w:val="605" w:hRule="atLeast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126" w:right="142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4"/>
              <w:tabs>
                <w:tab w:val="clear" w:pos="708"/>
              </w:tabs>
              <w:spacing w:before="0" w:after="0"/>
              <w:ind w:left="25" w:right="0" w:hanging="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Отсутствие нарушений законодательства в части ведения финансово-хозяйственной деятельности, приведших к нецелевому и неэффективному расходованию бюджетных средств – 5 б.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605" w:hRule="atLeast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Соблюдение соотношения среднемесячной заработной платы руководителя муниципального учреждения, его заместителей и главных бухгалтеров, и среднемесячной заработной платы работников муниципального учреждения (без учета заработной платы руководителя учреждения, его заместителей и главного бухгалтера)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85" w:right="142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Выполнение показателей – 2 б.</w:t>
            </w:r>
          </w:p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85" w:right="142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Невыполнение показателей – 0 б.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</w:tr>
      <w:tr>
        <w:trPr>
          <w:trHeight w:val="605" w:hRule="atLeast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pacing w:lineRule="auto" w:line="240" w:before="0" w:after="0"/>
              <w:ind w:left="0" w:right="142" w:hanging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Обеспечение своевременной уплаты в полном объеме всех установленных законодательством Российской Федерации и законодательством Свердловской области налогов, сборов и обязательных платежей в федеральный, областной и местный бюджеты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tabs>
                <w:tab w:val="clear" w:pos="708"/>
                <w:tab w:val="left" w:pos="993" w:leader="none"/>
              </w:tabs>
              <w:spacing w:lineRule="auto" w:line="240" w:before="0" w:after="0"/>
              <w:ind w:left="0" w:right="142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Выполнение – 2 б.</w:t>
            </w:r>
          </w:p>
          <w:p>
            <w:pPr>
              <w:pStyle w:val="Style24"/>
              <w:tabs>
                <w:tab w:val="clear" w:pos="708"/>
              </w:tabs>
              <w:spacing w:before="0" w:after="0"/>
              <w:ind w:left="25" w:right="0" w:hanging="2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Невыполнение – 0 б.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</w:tr>
    </w:tbl>
    <w:p>
      <w:pPr>
        <w:pStyle w:val="31"/>
        <w:widowControl w:val="false"/>
        <w:shd w:fill="FFFFFF" w:val="clear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Настоящее постановление разместить на официальном сайте администрации Камышловского городского округа.</w:t>
      </w:r>
    </w:p>
    <w:p>
      <w:pPr>
        <w:pStyle w:val="31"/>
        <w:widowControl w:val="false"/>
        <w:shd w:fill="FFFFFF" w:val="clear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9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Style16">
    <w:name w:val="Основной текст Знак"/>
    <w:basedOn w:val="Style14"/>
    <w:qFormat/>
    <w:rPr>
      <w:rFonts w:ascii="Calibri" w:hAnsi="Calibri" w:eastAsia="Times New Roman" w:cs="Calibri"/>
      <w:lang w:eastAsia="ru-RU"/>
    </w:rPr>
  </w:style>
  <w:style w:type="character" w:styleId="1">
    <w:name w:val="Основной текст Знак1"/>
    <w:basedOn w:val="Style14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i/>
      <w:iCs/>
      <w:spacing w:val="10"/>
      <w:highlight w:val="white"/>
    </w:rPr>
  </w:style>
  <w:style w:type="character" w:styleId="3">
    <w:name w:val="Основной текст (3)_"/>
    <w:qFormat/>
    <w:rPr>
      <w:rFonts w:ascii="Times New Roman" w:hAnsi="Times New Roman" w:eastAsia="Times New Roman" w:cs="Times New Roman"/>
      <w:sz w:val="25"/>
      <w:szCs w:val="25"/>
      <w:highlight w:val="white"/>
    </w:rPr>
  </w:style>
  <w:style w:type="character" w:styleId="Style17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Интернет-ссылка"/>
    <w:rPr>
      <w:color w:val="000080"/>
      <w:u w:val="single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11">
    <w:name w:val="Заголовок1"/>
    <w:basedOn w:val="Style19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Style19"/>
    <w:pPr>
      <w:suppressAutoHyphens w:val="true"/>
      <w:spacing w:lineRule="exact" w:line="360" w:before="0" w:after="0"/>
      <w:ind w:left="0" w:right="0"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Style21">
    <w:name w:val="List"/>
    <w:basedOn w:val="Style20"/>
    <w:pPr>
      <w:suppressAutoHyphens w:val="true"/>
    </w:pPr>
    <w:rPr>
      <w:rFonts w:cs="Lucida Sans"/>
    </w:rPr>
  </w:style>
  <w:style w:type="paragraph" w:styleId="Style22">
    <w:name w:val="Название объекта"/>
    <w:basedOn w:val="Style19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Style19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31">
    <w:name w:val="Основной текст3"/>
    <w:basedOn w:val="Style19"/>
    <w:qFormat/>
    <w:pPr>
      <w:widowControl w:val="false"/>
      <w:shd w:fill="FFFFFF" w:val="clear"/>
      <w:suppressAutoHyphens w:val="true"/>
      <w:spacing w:lineRule="atLeast" w:line="240" w:before="0" w:after="300"/>
    </w:pPr>
    <w:rPr>
      <w:rFonts w:ascii="Times New Roman" w:hAnsi="Times New Roman" w:eastAsia="Calibri" w:cs="Times New Roman"/>
      <w:sz w:val="26"/>
      <w:szCs w:val="26"/>
      <w:lang w:eastAsia="en-US"/>
    </w:rPr>
  </w:style>
  <w:style w:type="paragraph" w:styleId="21">
    <w:name w:val="Основной текст2"/>
    <w:basedOn w:val="Style19"/>
    <w:qFormat/>
    <w:pPr>
      <w:widowControl w:val="false"/>
      <w:shd w:fill="FFFFFF" w:val="clear"/>
      <w:suppressAutoHyphens w:val="true"/>
      <w:spacing w:lineRule="atLeast" w:line="240" w:before="0" w:after="30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22">
    <w:name w:val="Основной текст (2)"/>
    <w:basedOn w:val="Style19"/>
    <w:qFormat/>
    <w:pPr>
      <w:widowControl w:val="false"/>
      <w:shd w:fill="FFFFFF" w:val="clear"/>
      <w:suppressAutoHyphens w:val="true"/>
      <w:spacing w:lineRule="auto" w:line="240" w:before="780" w:after="420"/>
    </w:pPr>
    <w:rPr>
      <w:rFonts w:ascii="Times New Roman" w:hAnsi="Times New Roman" w:cs="Times New Roman"/>
      <w:b/>
      <w:bCs/>
      <w:i/>
      <w:iCs/>
      <w:spacing w:val="10"/>
      <w:lang w:eastAsia="en-US"/>
    </w:rPr>
  </w:style>
  <w:style w:type="paragraph" w:styleId="32">
    <w:name w:val="Основной текст (3)"/>
    <w:basedOn w:val="Style19"/>
    <w:qFormat/>
    <w:pPr>
      <w:widowControl w:val="false"/>
      <w:shd w:fill="FFFFFF" w:val="clear"/>
      <w:suppressAutoHyphens w:val="true"/>
      <w:spacing w:lineRule="exact" w:line="307" w:before="300" w:after="0"/>
      <w:jc w:val="center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Style24">
    <w:name w:val="Обычный (веб)"/>
    <w:basedOn w:val="Style19"/>
    <w:qFormat/>
    <w:pPr>
      <w:suppressAutoHyphens w:val="true"/>
      <w:spacing w:lineRule="auto" w:line="240"/>
    </w:pPr>
    <w:rPr>
      <w:rFonts w:ascii="Times New Roman" w:hAnsi="Times New Roman" w:cs="Times New Roman"/>
      <w:sz w:val="24"/>
      <w:szCs w:val="24"/>
    </w:rPr>
  </w:style>
  <w:style w:type="paragraph" w:styleId="Style25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19"/>
    <w:pPr>
      <w:suppressLineNumbers/>
      <w:tabs>
        <w:tab w:val="clear" w:pos="708"/>
        <w:tab w:val="center" w:pos="4677" w:leader="none"/>
        <w:tab w:val="right" w:pos="9354" w:leader="none"/>
      </w:tabs>
      <w:suppressAutoHyphens w:val="true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</Pages>
  <Words>379</Words>
  <Characters>2793</Characters>
  <CharactersWithSpaces>3197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2021-10-27T06:10:00Z</dcterms:created>
  <dc:creator>Марина</dc:creator>
  <dc:description/>
  <dc:language>ru-RU</dc:language>
  <cp:lastModifiedBy/>
  <cp:lastPrinted>2021-10-27T06:09:00Z</cp:lastPrinted>
  <dcterms:modified xsi:type="dcterms:W3CDTF">2021-11-11T15:35:05Z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