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4"/>
        <w:widowControl w:val="false"/>
        <w:shd w:fill="FFFFFF" w:val="clear"/>
        <w:suppressAutoHyphens w:val="true"/>
        <w:spacing w:lineRule="auto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от 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0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.07.2021   № 49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8</w:t>
      </w:r>
    </w:p>
    <w:p>
      <w:pPr>
        <w:pStyle w:val="4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изменений Программу празднования 353-ой годовщины со Дня образования города Камышлов в 2021 году, утвержденную постановлением администрации Камышловского городского округа </w:t>
      </w:r>
    </w:p>
    <w:p>
      <w:pPr>
        <w:pStyle w:val="4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28 мая 2021 года N 367 «Об организации и подготовке мероприятий, посвященных празднованию 353- ой годовщины </w:t>
      </w:r>
    </w:p>
    <w:p>
      <w:pPr>
        <w:pStyle w:val="4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 Дня образования города Камышлов в 2021 году»</w:t>
      </w:r>
    </w:p>
    <w:p>
      <w:pPr>
        <w:pStyle w:val="4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"/>
        <w:shd w:fill="FFFFFF" w:val="clear"/>
        <w:spacing w:before="0" w:after="0"/>
        <w:ind w:left="0" w:right="0" w:firstLine="709"/>
        <w:jc w:val="both"/>
        <w:rPr/>
      </w:pPr>
      <w:r>
        <w:rPr>
          <w:rStyle w:val="Style14"/>
          <w:rFonts w:ascii="Liberation Serif" w:hAnsi="Liberation Serif"/>
          <w:b w:val="false"/>
          <w:sz w:val="28"/>
          <w:szCs w:val="28"/>
        </w:rPr>
        <w:t>В связи с действием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внесенными изменениями и дополнениями), во исполнение подпункта 2 пункта 2 Протокола №7 от 05 Июля 2021 Заседания Штаба по предупреждению распространения коронавирусной инфекции на территории Камышловского городского округа от 01 июля 2021, администрация Камышловского городского округа администрация Камышловского городского округа</w:t>
      </w:r>
    </w:p>
    <w:p>
      <w:pPr>
        <w:pStyle w:val="Style17"/>
        <w:suppressAutoHyphens w:val="true"/>
        <w:spacing w:lineRule="auto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numPr>
          <w:ilvl w:val="0"/>
          <w:numId w:val="1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4"/>
          <w:rFonts w:ascii="Liberation Serif" w:hAnsi="Liberation Serif"/>
          <w:b w:val="false"/>
          <w:szCs w:val="28"/>
        </w:rPr>
        <w:t xml:space="preserve">Внести следующие изменения в Программу </w:t>
      </w:r>
      <w:r>
        <w:rPr>
          <w:rStyle w:val="Style14"/>
          <w:rFonts w:ascii="Liberation Serif" w:hAnsi="Liberation Serif"/>
          <w:b w:val="false"/>
          <w:bCs/>
          <w:szCs w:val="28"/>
        </w:rPr>
        <w:t>празднования 353-ой годовщины со Дня образования города Камышлов в 2021 году, утвержденную постановлением администрации Камышловского городского округа от 28 мая 2021 года N 367 «Об организации и подготовке мероприятий, посвященных празднованию 353- ой годовщины со Дня образования города Камышлов в 2021 году»:</w:t>
      </w:r>
    </w:p>
    <w:p>
      <w:pPr>
        <w:pStyle w:val="Style19"/>
        <w:numPr>
          <w:ilvl w:val="1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>Строки 2, 5, 8, 9, 16, 18, 23 Приложения №2 исключить;</w:t>
      </w:r>
    </w:p>
    <w:p>
      <w:pPr>
        <w:pStyle w:val="Style19"/>
        <w:numPr>
          <w:ilvl w:val="1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>Приложение №2 изложить в новой редакции (Приложение№1).</w:t>
      </w:r>
    </w:p>
    <w:p>
      <w:pPr>
        <w:pStyle w:val="Style19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4"/>
          <w:rFonts w:ascii="Liberation Serif" w:hAnsi="Liberation Serif"/>
          <w:b w:val="false"/>
          <w:bCs/>
          <w:szCs w:val="28"/>
        </w:rPr>
        <w:t>Ответственным за организацию мероприятий при проведении неукоснительно соблюдать рекомендации Талицкого отдела Управления Роспотребнадзора по Свердловской области</w:t>
      </w:r>
      <w:r>
        <w:rPr>
          <w:rStyle w:val="Style14"/>
          <w:rFonts w:ascii="Liberation Serif" w:hAnsi="Liberation Serif"/>
          <w:szCs w:val="28"/>
        </w:rPr>
        <w:t xml:space="preserve"> </w:t>
      </w:r>
      <w:r>
        <w:rPr>
          <w:rStyle w:val="Style14"/>
          <w:rFonts w:ascii="Liberation Serif" w:hAnsi="Liberation Serif"/>
          <w:b w:val="false"/>
          <w:bCs/>
          <w:szCs w:val="28"/>
        </w:rPr>
        <w:t>от 22 июня 2021года № 66-14-01/04-02-2786-2021 (Приложение№2).</w:t>
      </w:r>
    </w:p>
    <w:p>
      <w:pPr>
        <w:pStyle w:val="Style19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Style19"/>
        <w:numPr>
          <w:ilvl w:val="0"/>
          <w:numId w:val="0"/>
        </w:numPr>
        <w:tabs>
          <w:tab w:val="clear" w:pos="708"/>
        </w:tabs>
        <w:ind w:left="1029" w:right="0" w:hanging="0"/>
        <w:jc w:val="both"/>
        <w:rPr/>
      </w:pPr>
      <w:r>
        <w:rPr>
          <w:rStyle w:val="Style14"/>
          <w:rFonts w:ascii="Liberation Serif" w:hAnsi="Liberation Serif"/>
          <w:b w:val="false"/>
          <w:sz w:val="28"/>
          <w:szCs w:val="28"/>
        </w:rPr>
        <w:t xml:space="preserve">        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4. 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Style w:val="Style14"/>
          <w:rFonts w:cs="Times New Roman" w:ascii="Liberation Serif" w:hAnsi="Liberation Serif"/>
          <w:b w:val="false"/>
          <w:bCs w:val="false"/>
          <w:sz w:val="28"/>
          <w:szCs w:val="28"/>
        </w:rPr>
        <w:t>на заместителя главы администрации Камышловского городского округа Соболеву А.А.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850" w:footer="0" w:bottom="850" w:gutter="0"/>
          <w:pgNumType w:fmt="decimal"/>
          <w:formProt w:val="false"/>
          <w:textDirection w:val="lrTb"/>
          <w:docGrid w:type="default" w:linePitch="600" w:charSpace="36864"/>
        </w:sect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 округа                                    А.В. Половников</w:t>
      </w:r>
    </w:p>
    <w:tbl>
      <w:tblPr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7"/>
        <w:gridCol w:w="5385"/>
      </w:tblGrid>
      <w:tr>
        <w:trPr/>
        <w:tc>
          <w:tcPr>
            <w:tcW w:w="9607" w:type="dxa"/>
            <w:tcBorders/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постановлению администрации 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17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от   </w:t>
            </w:r>
            <w:r>
              <w:rPr>
                <w:rFonts w:eastAsia="Times New Roman" w:ascii="Liberation Serif" w:hAnsi="Liberation Serif"/>
                <w:bCs/>
                <w:sz w:val="28"/>
                <w:szCs w:val="28"/>
                <w:lang w:eastAsia="ru-RU"/>
              </w:rPr>
              <w:t>20.07.2021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N  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498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07" w:type="dxa"/>
            <w:tcBorders/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28 мая 2021 года N 367 «Об организации и подготовке мероприятий, посвященных празднованию 353- ой годовщины со Дня образования города Камышлов в 2021 году»</w:t>
            </w:r>
          </w:p>
        </w:tc>
      </w:tr>
    </w:tbl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празднования 353-ей годовщины со Дня образования города Камышлов 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31 июля - 7 августа 2021 году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(в новой редакции)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Слоган «Нас объединяет Камышлов!»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819"/>
        <w:gridCol w:w="1610"/>
        <w:gridCol w:w="5186"/>
        <w:gridCol w:w="4244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Краеведческий музей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 июля 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часов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Открытие выставки картин камышловских художников, посвященная 200-летию </w:t>
            </w:r>
            <w:r>
              <w:rPr>
                <w:rStyle w:val="Style16"/>
                <w:rFonts w:ascii="Liberation Serif" w:hAnsi="Liberation Serif"/>
                <w:b w:val="false"/>
                <w:color w:val="000000"/>
                <w:sz w:val="28"/>
                <w:szCs w:val="28"/>
                <w:highlight w:val="white"/>
              </w:rPr>
              <w:t>Покровского собора</w:t>
            </w:r>
            <w:r>
              <w:rPr>
                <w:rStyle w:val="Style14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«Прекрасен колокольный звон…»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Шумкова А.С.,</w:t>
            </w:r>
          </w:p>
          <w:p>
            <w:pPr>
              <w:pStyle w:val="Style17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Гостиная городской библиотеки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03.08.2021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17.00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Открытие выставки «День города на стыке веков»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Лавренцева М.Э., директор МБУК «Камышловская ЦБС» 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Литературная гостиная центральной библиотеки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августа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Литературный вечер в рамках заседания клуба «Литературный четверг» – Камышловские поэты о соборе (литературный марафон)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конкурса стихов о Покровском соборе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Лавренцева М.Э., директор МБУК «Камышловская ЦБС» 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Озорнин С.В., главный редактор газеты «Камышловские известия» (по согласованию)</w:t>
            </w:r>
          </w:p>
        </w:tc>
      </w:tr>
      <w:tr>
        <w:trPr/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 августа</w:t>
            </w:r>
          </w:p>
        </w:tc>
      </w:tr>
      <w:tr>
        <w:trPr>
          <w:trHeight w:val="44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10.00–18.00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Выставки: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- выставка картин камышловских художников, посвященная 200-летию </w:t>
            </w:r>
            <w:r>
              <w:rPr>
                <w:rStyle w:val="Style16"/>
                <w:rFonts w:ascii="Liberation Serif" w:hAnsi="Liberation Serif"/>
                <w:b w:val="false"/>
                <w:color w:val="000000"/>
                <w:sz w:val="28"/>
                <w:szCs w:val="28"/>
                <w:highlight w:val="white"/>
              </w:rPr>
              <w:t>Покровского собора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«Прекрасен колокольный звон…»</w:t>
            </w:r>
            <w:r>
              <w:rPr>
                <w:rStyle w:val="Style16"/>
                <w:rFonts w:ascii="Liberation Serif" w:hAnsi="Liberation Serif"/>
                <w:b w:val="false"/>
                <w:color w:val="000000"/>
                <w:sz w:val="28"/>
                <w:szCs w:val="28"/>
                <w:highlight w:val="white"/>
              </w:rPr>
              <w:t>;</w:t>
            </w:r>
          </w:p>
          <w:p>
            <w:pPr>
              <w:pStyle w:val="Style17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в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ыставка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предметов богослужебной культуры «Символы веры»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;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17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 выставка православных книг «Живое слово мудрости духовной»;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«12 стульев»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Шумкова А.С.,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>
          <w:trHeight w:val="44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Парковая зона музея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16.30-18.00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Фестиваль народного творчества «Пой гармонь, пой баян!» - «И звон колокольный заливисто, смело над городом милым зазывно плывет»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>
          <w:trHeight w:val="44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Парковая зона музея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Розыгрыш призов среди подписчиков газеты «Камышловские известия»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Озорнин С.В., главный редактор газеты «Камышловские известия»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>
          <w:trHeight w:val="44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Стадион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Конкурс фотозон среди ОУ и ДОУ «Летний образ собора»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Салихова Ю.В., директор МАУ ДОД «Дом детского творчества», 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руководители ОУ, ДОУ</w:t>
            </w:r>
          </w:p>
        </w:tc>
      </w:tr>
      <w:tr>
        <w:trPr>
          <w:trHeight w:val="11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tabs>
                <w:tab w:val="clear" w:pos="708"/>
                <w:tab w:val="left" w:pos="-1572" w:leader="none"/>
                <w:tab w:val="left" w:pos="-786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Стадион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11.00 - 12.00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часов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Открытие фестиваля декоративно-прикладного творчества и гастрономии «Земляничный джем»</w:t>
            </w:r>
          </w:p>
          <w:p>
            <w:pPr>
              <w:pStyle w:val="Style17"/>
              <w:spacing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Подведение итогов конкурсов:</w:t>
            </w:r>
          </w:p>
          <w:p>
            <w:pPr>
              <w:pStyle w:val="Style21"/>
              <w:numPr>
                <w:ilvl w:val="0"/>
                <w:numId w:val="4"/>
              </w:numPr>
              <w:spacing w:lineRule="auto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«Летний образ собора» </w:t>
            </w:r>
          </w:p>
          <w:p>
            <w:pPr>
              <w:pStyle w:val="Style21"/>
              <w:numPr>
                <w:ilvl w:val="0"/>
                <w:numId w:val="4"/>
              </w:numPr>
              <w:spacing w:lineRule="auto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«Лоскуток Камышлова»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Салихова Ю.В., директор МАУ ДО «Дом детского творчества»</w:t>
            </w:r>
          </w:p>
        </w:tc>
      </w:tr>
      <w:tr>
        <w:trPr>
          <w:trHeight w:val="84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Улица К.Маркса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12.00 -15.30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Фестиваль декоративно-прикладного творчества и гастрономии «Земляничный джем»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Акимова Н.В., начальник отдела экономики администрации Камышловского городского округа </w:t>
            </w:r>
          </w:p>
        </w:tc>
      </w:tr>
      <w:tr>
        <w:trPr>
          <w:trHeight w:val="952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Художественная школа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– 21.00 часов</w:t>
            </w:r>
          </w:p>
          <w:p>
            <w:pPr>
              <w:pStyle w:val="Style17"/>
              <w:spacing w:lineRule="atLeast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скульптур из песка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«Kamyshlov-art-Sand 2021» </w:t>
            </w:r>
          </w:p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Тема «Сотворение мира»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Теркулова Е.А., директор МБУДО «Камышловская ДХШ»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12.00 - 14.00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Мастер-классы на земляничную тему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12.00 - 14.00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76"/>
              <w:jc w:val="both"/>
              <w:textAlignment w:val="auto"/>
              <w:rPr>
                <w:rFonts w:ascii="Liberation Serif" w:hAnsi="Liberation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Семейный турнир по шашкам «Земляничные баталии»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13.00-15.00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Фестиваль молодежных субкультур «Урбанстрит – герои нашего времени»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16.00-20.00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Чемпионат Уральского федерального округа по силовому экстриму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 xml:space="preserve">Новиков В.А., директор МБУ «ЦРФКСиПВ» 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20.00-20.30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Торжественная часть с поздравлением официальных лиц и гостей города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Салихова Ю.В., директор МАУ ДОД «Дом детского творчества»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389" w:leader="none"/>
                <w:tab w:val="left" w:pos="397" w:leader="none"/>
              </w:tabs>
              <w:suppressAutoHyphens w:val="true"/>
              <w:overflowPunct w:val="false"/>
              <w:spacing w:lineRule="atLeast" w:line="240" w:before="0" w:after="0"/>
              <w:ind w:left="1183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20.30-22.30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творческих коллективов города и индивидуальных исполнителей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Канева М.Н., директор АМУК КГО «ЦКиД»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0"/>
              </w:numPr>
              <w:tabs>
                <w:tab w:val="clear" w:pos="708"/>
                <w:tab w:val="left" w:pos="-446" w:leader="none"/>
                <w:tab w:val="left" w:pos="340" w:leader="none"/>
              </w:tabs>
              <w:suppressAutoHyphens w:val="true"/>
              <w:overflowPunct w:val="false"/>
              <w:spacing w:lineRule="atLeast" w:line="240" w:before="0" w:after="0"/>
              <w:ind w:left="1126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22.30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Праздничный салют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Liberation Serif" w:hAnsi="Liberation Serif"/>
                <w:color w:val="292929"/>
                <w:sz w:val="28"/>
                <w:szCs w:val="28"/>
              </w:rPr>
              <w:t>Канева М.Н., директор АМУК КГО «ЦКиД»</w:t>
            </w:r>
          </w:p>
        </w:tc>
      </w:tr>
    </w:tbl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используемых сокращений: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КОКС и ДМ – Комитет по образованию, культуре, спорту и делам молодежи администрации Камышловского городского округа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КГО – автономное муниципальное учреждение культуры Камышловского городского округа;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– муниципальное бюджетное учреждение культуры;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МАУДО - муниципальное автономное учреждение дополнительного образования;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МБУДО «Камышловская ДХШ» - Муниципальное бюджетное учреждение культуры «Камышловская детская художественная школа»;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ООО – общество с ограниченной ответственностью;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КГО – Камышловский городской округ;</w:t>
      </w:r>
    </w:p>
    <w:p>
      <w:pPr>
        <w:pStyle w:val="Style17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МБУ «ЦРФКСиПВ» – муниципальное бюджетное учреждение «Центр развития физической культуры, спорта и патриотического воспитания»»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«Камышловский краеведческий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«Камышловская ЦБС» - Муниципальное бюджетное учреждение культуры «Камышловская централизованная библиотечная система»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 – образовательные учреждения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ДОУ – дошкольные образовательные учреждения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ЦБС – централизованная библиотечная система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КСТШ ДОСААФ России - Профессиональное образовательное учреждение "Камышловская спортивно-техническая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 «Свердловской области»» </w:t>
      </w:r>
    </w:p>
    <w:p>
      <w:pPr>
        <w:sectPr>
          <w:headerReference w:type="default" r:id="rId3"/>
          <w:type w:val="nextPage"/>
          <w:pgSz w:orient="landscape" w:w="16838" w:h="11906"/>
          <w:pgMar w:left="1134" w:right="1134" w:header="851" w:top="1403" w:footer="0" w:bottom="1701" w:gutter="0"/>
          <w:pgNumType w:fmt="decimal"/>
          <w:formProt w:val="false"/>
          <w:textDirection w:val="lrTb"/>
          <w:docGrid w:type="default" w:linePitch="600" w:charSpace="36864"/>
        </w:sect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 "СКО" "Камышловская" – Некоммерческая организация «Станичное казачье общество» «Камышловская»</w:t>
      </w:r>
    </w:p>
    <w:tbl>
      <w:tblPr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536"/>
      </w:tblGrid>
      <w:tr>
        <w:trPr/>
        <w:tc>
          <w:tcPr>
            <w:tcW w:w="4820" w:type="dxa"/>
            <w:tcBorders/>
            <w:shd w:fill="auto" w:val="clear"/>
          </w:tcPr>
          <w:p>
            <w:pPr>
              <w:pStyle w:val="Style17"/>
              <w:overflowPunct w:val="false"/>
              <w:spacing w:lineRule="atLeast" w:line="240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Style17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17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Style17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17"/>
              <w:overflowPunct w:val="false"/>
              <w:spacing w:lineRule="atLeast" w:line="24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20.07.2021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498</w:t>
            </w:r>
          </w:p>
        </w:tc>
      </w:tr>
    </w:tbl>
    <w:p>
      <w:pPr>
        <w:pStyle w:val="Style17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Рекомендации, направленные на предупреждение распространения COVID-19 при организации и проведении на территории Свердловской области массовых, в том числе спортивных мероприятий.</w:t>
      </w:r>
    </w:p>
    <w:p>
      <w:pPr>
        <w:pStyle w:val="Style17"/>
        <w:spacing w:lineRule="atLeast" w:line="24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Перечень документов.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СП 3.1.3597-20 «Профилактика новой коронавирусной инфекции (COVID-19)»;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Главного государственного санитарного врача РФ от 16.10.2020 № 31 «О дополнительных мерах по снижению рисков распространения COVID-2019 в период сезонного подъема заболеваемости острыми респираторными вирусными инфекциями и гриппом»;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Главного государственного санитарного врача РФ от 18.03.2020 № 7 (ред. от 16.04.2021) «Об обеспечении режима изоляции в целях предотвращения распространения COVID-19».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МР № 3.1.0178-20 от 08.05.2020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Указ Губернатора Свердловской области от 18.03.2020 № 100-УГ (ред. от 25.03.2021)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Минспортом России, Главным государственным санитарным врачом РФ 31.07.2020);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МР 3.1/2.1.0198-20 Методические 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деятельности, утв. Главным государственным санитарным врачом РФ 26.06.2020;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МР 3.1/2.1.0202-20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организаций, утв. Главным государственным санитарным врачом РФ 21.07.2020;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Приказ Минздрава России от 21.03.2014 № 125н (ред. от 03.02.2021) «Об утверждении национального календаря профилактических прививок и календаря профилактических прививок по эпидемическим показаниям»;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Принципиально важной составляющей на этапе подготовки мероприятия является оценка эпидемиологических рисков, позволяющая целенаправленно подойти к выбору мер и средств предупреждения эпидемиологических осложнений (внутренние и внешние угрозы).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настоящее время Свердловская область находится на втором этапе снятия ограничительных мероприятий в условиях эпидемического распространения COVID-19.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tLeast" w:line="240"/>
        <w:ind w:left="0" w:right="0" w:firstLine="709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Организатору Мероприятия необходимо выполнение следующих требований:</w:t>
      </w:r>
      <w:r>
        <w:rPr>
          <w:rStyle w:val="Style14"/>
          <w:rFonts w:ascii="Liberation Serif" w:hAnsi="Liberation Serif"/>
          <w:sz w:val="28"/>
          <w:szCs w:val="28"/>
          <w:highlight w:val="yellow"/>
        </w:rPr>
        <w:t xml:space="preserve"> 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решения о возможности проведения массового мероприятия и объема дополнительных санитарно-профилактических (противоэпидемических) мероприятий помимо указанных ниже принимается на уровне регионального (муниципального) оперативного штаба по предупреждению заноса и распространения новой коронавирусной инфекции с учетом складывающейся эпидемической ситуации на территории проведения мероприятий.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Определить вместимость площадки проведения мероприятия для расчета численности персонала, участников, посетителей выставки, представителей средств массовой информации и иных категорий лиц, одновременно находящихся на площадке мероприятия, их расстановки/рассадки с учетом форматов мероприятий (заседание, семинар, свободное перемещение участников), норм дистанцирования (1,5 метра) и соблюдения ограничений по количеству участников и посетителей.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Помещения со свободным перемещением участников и посетителей - одновременное нахождение в помещении людей в количестве, не превышающем 1 человек на 4 м2.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Залы заседаний – дистанция рассадка с дистанцией не менее 1,5 метра.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Проработать систему контроля за количеством людей, находящихся на площадке проведения мероприятия и в отдельных помещениях в зависимости от формата проведения мероприятия в них. В ходе проведения мероприятия обеспечить постоянный непрерывный контроль за соблюдением перечисленных выше требований.  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 использовании залов для проведения конференций (совещаний), установить интервалы между сессиями в залах не менее 15 минут для проведения проветривания и дезинфекции контактных поверхностей.</w:t>
      </w:r>
    </w:p>
    <w:p>
      <w:pPr>
        <w:pStyle w:val="Style20"/>
        <w:spacing w:lineRule="atLeast" w:line="24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Определить страны и (или) регионы Российской Федерации из которых планируется прибытие участников мероприятия. Участники из иностранных государств допускаются к участию в мероприятии по результатам отрицательного тестирования на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COVID</w:t>
      </w:r>
      <w:r>
        <w:rPr>
          <w:rStyle w:val="Style14"/>
          <w:rFonts w:ascii="Liberation Serif" w:hAnsi="Liberation Serif"/>
          <w:sz w:val="28"/>
          <w:szCs w:val="28"/>
        </w:rPr>
        <w:t>-19, проведенного в соответствии с распоряжением Правительства Российской Федерации от 16.03.20 г. № 635-р, Постановлением Главного государственного санитарного врача РФ от 18.03.2020 № 7 (ред. от 16.04.2021) «Об обеспечении режима изоляции в целях предотвращения распространения COVID-19», повторного тестирования за 24 часа до начала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Организаторы и персонал мероприятия проходят инструктаж по соблюдению мер безопасности по предупреждению распространения новой коронавирусной инфекции, в том числе по применению дезинфицирующих средств.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Ограничить вход на территорию площадки лиц, не связанных с проведением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Ограничить контакты между персоналом различных функциональных групп, не связанных общими задачами и производственными процессами. Установить дистанционный режим работы для сотрудников, не ограниченных выполнением служебных обязанностей непосредственно на площадке проведения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Организовать движение участников мероприятия без перекреста потоков.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Внутренними нормативными документами назначить ответственное лицо от каждого Участника мероприятия (организаторов, делегаций, персонала и др.) по вопросам обеспечения и контроля за соблюдением мер профилактики и недопущения распространения коронавирусной инфекции.</w:t>
      </w:r>
    </w:p>
    <w:p>
      <w:pPr>
        <w:pStyle w:val="Style17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Обеспечить эффективность работы систем общеобменной вентиляции в помещениях, обеспечить наличие в помещениях переносных (мобильных) установок по обеззараживанию воздуха и их использование в соответствии с инструкцией по эксплуатации.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Перед открытием на площадке(ах) проведения мероприятия проводится влажная уборка с использованием дезинфицирующих средств вирулицидного действия, разрешенных к применению в установленном порядке.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Организация среди участников, персонала и посетителей выставки,  входящих на объект, термометрии с использованием бесконтактных термометров, тепловизоров.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Организаторы и персонал, работающие на площадке мероприятия, должны быть обеспечены запасом средств индивидуальной защиты органов дыхания (одноразовые маски, респираторы)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Использование средств индивидуальной защиты органов дыхания (одноразовые маски, респираторы) участниками и посетителями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Осуществление контроля за использованием сотрудниками, участниками и посетителями защитных масок в период проведения мероприятия, масок и перчаток - в период выставочного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Организация на территории объекта (на входах на площадку, в здание, в санузлах) мест обработки рук кожными антисептиками, в том числе, с помощью установленных дозаторов или влажных салфеток.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Проводить дезинфекционную обработку каждые 2 часа туалетных комнат, контактных поверхностей (поручни, ручки дверей, перила и др.).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Осуществляется сбор использованных масок (респираторов) и перчаток персонала, участников, посетителей мероприятия в полиэтиленовые мешки с последующей утилизацией как ТКО.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Обеспечить эффективность работы систем общеобменной вентиляции в помещениях.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Обеспечить наличие в помещениях переносных (мобильных) установок по обеззараживанию воздуха и их использование в соответствии с инструкцией по эксплуатации.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В условиях сохраняющихся рисков распространения новой коронавирусной инфекции среди населения региона, рассмотреть вопрос  проведения массовых мероприятий (развлекательных, культурных, спортивных) только с участием лиц привитых, переболевших, имеющих защитные титры антител, имеющих результат обследования, подтверждающий отсутствие НКВИ, не позднее чем за 72 часа до проведения мероприятия.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Обеспечить вакцинацию против новой коронавирусной инфекции персонала Мероприятия. Информирование участников и посетителей Мероприятия о необходимости вакцинации против новой коронавирусной инфекции.</w:t>
      </w:r>
    </w:p>
    <w:p>
      <w:pPr>
        <w:pStyle w:val="Style20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Приоритетно привлечение обслуживающего персонала (технического, обслуживающего в местах проживания и питания, волонтёров), прошедшего вакцинацию против новой коронавирусной инфекции.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6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ind w:left="2699" w:hanging="2160"/>
      </w:pPr>
      <w:rPr>
        <w:b w:val="false"/>
        <w:rFonts w:ascii="Liberation Serif" w:hAnsi="Liberation Serif"/>
        <w:color w:val="FF0000"/>
      </w:rPr>
    </w:lvl>
  </w:abstractNum>
  <w:abstractNum w:abstractNumId="2">
    <w:lvl w:ilvl="0">
      <w:start w:val="1"/>
      <w:numFmt w:val="decimal"/>
      <w:lvlText w:val="%1."/>
      <w:lvlJc w:val="left"/>
      <w:pPr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ind w:left="2699" w:hanging="2160"/>
      </w:pPr>
      <w:rPr>
        <w:b w:val="false"/>
        <w:rFonts w:ascii="Liberation Serif" w:hAnsi="Liberation Serif"/>
        <w:color w:val="FF0000"/>
      </w:r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basedOn w:val="Style14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6">
    <w:name w:val="Строгий"/>
    <w:basedOn w:val="Style14"/>
    <w:qFormat/>
    <w:rPr>
      <w:b/>
      <w:bCs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/>
      <w:b w:val="false"/>
      <w:color w:val="auto"/>
    </w:rPr>
  </w:style>
  <w:style w:type="character" w:styleId="WWCharLFO1LVL3">
    <w:name w:val="WW_CharLFO1LVL3"/>
    <w:qFormat/>
    <w:rPr>
      <w:rFonts w:ascii="Liberation Serif" w:hAnsi="Liberation Serif"/>
      <w:b w:val="false"/>
      <w:color w:val="FF0000"/>
    </w:rPr>
  </w:style>
  <w:style w:type="character" w:styleId="WWCharLFO1LVL4">
    <w:name w:val="WW_CharLFO1LVL4"/>
    <w:qFormat/>
    <w:rPr>
      <w:rFonts w:ascii="Liberation Serif" w:hAnsi="Liberation Serif"/>
      <w:b w:val="false"/>
      <w:color w:val="FF0000"/>
    </w:rPr>
  </w:style>
  <w:style w:type="character" w:styleId="WWCharLFO1LVL5">
    <w:name w:val="WW_CharLFO1LVL5"/>
    <w:qFormat/>
    <w:rPr>
      <w:rFonts w:ascii="Liberation Serif" w:hAnsi="Liberation Serif"/>
      <w:b w:val="false"/>
      <w:color w:val="FF0000"/>
    </w:rPr>
  </w:style>
  <w:style w:type="character" w:styleId="WWCharLFO1LVL6">
    <w:name w:val="WW_CharLFO1LVL6"/>
    <w:qFormat/>
    <w:rPr>
      <w:rFonts w:ascii="Liberation Serif" w:hAnsi="Liberation Serif"/>
      <w:b w:val="false"/>
      <w:color w:val="FF0000"/>
    </w:rPr>
  </w:style>
  <w:style w:type="character" w:styleId="WWCharLFO1LVL7">
    <w:name w:val="WW_CharLFO1LVL7"/>
    <w:qFormat/>
    <w:rPr>
      <w:rFonts w:ascii="Liberation Serif" w:hAnsi="Liberation Serif"/>
      <w:b w:val="false"/>
      <w:color w:val="FF0000"/>
    </w:rPr>
  </w:style>
  <w:style w:type="character" w:styleId="WWCharLFO1LVL8">
    <w:name w:val="WW_CharLFO1LVL8"/>
    <w:qFormat/>
    <w:rPr>
      <w:rFonts w:ascii="Liberation Serif" w:hAnsi="Liberation Serif"/>
      <w:b w:val="false"/>
      <w:color w:val="FF0000"/>
    </w:rPr>
  </w:style>
  <w:style w:type="character" w:styleId="WWCharLFO1LVL9">
    <w:name w:val="WW_CharLFO1LVL9"/>
    <w:qFormat/>
    <w:rPr>
      <w:rFonts w:ascii="Liberation Serif" w:hAnsi="Liberation Serif"/>
      <w:b w:val="false"/>
      <w:color w:val="FF0000"/>
    </w:rPr>
  </w:style>
  <w:style w:type="character" w:styleId="WWCharLFO2LVL1">
    <w:name w:val="WW_CharLFO2LVL1"/>
    <w:qFormat/>
    <w:rPr>
      <w:b w:val="false"/>
    </w:rPr>
  </w:style>
  <w:style w:type="character" w:styleId="WWCharLFO2LVL2">
    <w:name w:val="WW_CharLFO2LVL2"/>
    <w:qFormat/>
    <w:rPr>
      <w:rFonts w:ascii="Liberation Serif" w:hAnsi="Liberation Serif"/>
      <w:b w:val="false"/>
      <w:color w:val="auto"/>
    </w:rPr>
  </w:style>
  <w:style w:type="character" w:styleId="WWCharLFO2LVL3">
    <w:name w:val="WW_CharLFO2LVL3"/>
    <w:qFormat/>
    <w:rPr>
      <w:rFonts w:ascii="Liberation Serif" w:hAnsi="Liberation Serif"/>
      <w:b w:val="false"/>
      <w:color w:val="FF0000"/>
    </w:rPr>
  </w:style>
  <w:style w:type="character" w:styleId="WWCharLFO2LVL4">
    <w:name w:val="WW_CharLFO2LVL4"/>
    <w:qFormat/>
    <w:rPr>
      <w:rFonts w:ascii="Liberation Serif" w:hAnsi="Liberation Serif"/>
      <w:b w:val="false"/>
      <w:color w:val="FF0000"/>
    </w:rPr>
  </w:style>
  <w:style w:type="character" w:styleId="WWCharLFO2LVL5">
    <w:name w:val="WW_CharLFO2LVL5"/>
    <w:qFormat/>
    <w:rPr>
      <w:rFonts w:ascii="Liberation Serif" w:hAnsi="Liberation Serif"/>
      <w:b w:val="false"/>
      <w:color w:val="FF0000"/>
    </w:rPr>
  </w:style>
  <w:style w:type="character" w:styleId="WWCharLFO2LVL6">
    <w:name w:val="WW_CharLFO2LVL6"/>
    <w:qFormat/>
    <w:rPr>
      <w:rFonts w:ascii="Liberation Serif" w:hAnsi="Liberation Serif"/>
      <w:b w:val="false"/>
      <w:color w:val="FF0000"/>
    </w:rPr>
  </w:style>
  <w:style w:type="character" w:styleId="WWCharLFO2LVL7">
    <w:name w:val="WW_CharLFO2LVL7"/>
    <w:qFormat/>
    <w:rPr>
      <w:rFonts w:ascii="Liberation Serif" w:hAnsi="Liberation Serif"/>
      <w:b w:val="false"/>
      <w:color w:val="FF0000"/>
    </w:rPr>
  </w:style>
  <w:style w:type="character" w:styleId="WWCharLFO2LVL8">
    <w:name w:val="WW_CharLFO2LVL8"/>
    <w:qFormat/>
    <w:rPr>
      <w:rFonts w:ascii="Liberation Serif" w:hAnsi="Liberation Serif"/>
      <w:b w:val="false"/>
      <w:color w:val="FF0000"/>
    </w:rPr>
  </w:style>
  <w:style w:type="character" w:styleId="WWCharLFO2LVL9">
    <w:name w:val="WW_CharLFO2LVL9"/>
    <w:qFormat/>
    <w:rPr>
      <w:rFonts w:ascii="Liberation Serif" w:hAnsi="Liberation Serif"/>
      <w:b w:val="false"/>
      <w:color w:val="FF0000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Body Text Indent"/>
    <w:basedOn w:val="Style17"/>
    <w:pPr>
      <w:suppressAutoHyphens w:val="true"/>
      <w:ind w:left="0" w:right="0" w:firstLine="720"/>
      <w:jc w:val="center"/>
    </w:pPr>
    <w:rPr>
      <w:b/>
      <w:sz w:val="28"/>
    </w:rPr>
  </w:style>
  <w:style w:type="paragraph" w:styleId="4">
    <w:name w:val="Основной текст (4)"/>
    <w:basedOn w:val="Style17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Абзац списка"/>
    <w:basedOn w:val="Style17"/>
    <w:qFormat/>
    <w:pPr>
      <w:tabs>
        <w:tab w:val="clear" w:pos="708"/>
      </w:tabs>
      <w:suppressAutoHyphens w:val="true"/>
      <w:overflowPunct w:val="false"/>
      <w:spacing w:lineRule="auto" w:line="249"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1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7"/>
    <w:qFormat/>
    <w:pPr>
      <w:suppressAutoHyphens w:val="true"/>
      <w:spacing w:before="100" w:after="100"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10</Pages>
  <Words>1923</Words>
  <CharactersWithSpaces>15914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2021-07-20T08:11:00Z</dcterms:created>
  <dc:creator>user</dc:creator>
  <dc:description/>
  <dc:language>ru-RU</dc:language>
  <cp:lastModifiedBy/>
  <cp:lastPrinted>2021-07-20T15:32:33Z</cp:lastPrinted>
  <dcterms:modified xsi:type="dcterms:W3CDTF">2021-07-20T15:33:18Z</dcterms:modified>
  <cp:revision>5</cp:revision>
  <dc:subject/>
  <dc:title/>
</cp:coreProperties>
</file>