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bidi w:val="0"/>
        <w:ind w:left="0" w:right="0" w:hanging="0"/>
        <w:jc w:val="center"/>
        <w:rPr/>
      </w:pPr>
      <w:r>
        <w:rPr>
          <w:rStyle w:val="Style16"/>
          <w:rFonts w:eastAsia="Times New Roman" w:cs="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8155" cy="7454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bidi w:val="0"/>
        <w:spacing w:lineRule="auto" w:line="240"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5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от 14.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854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0" w:name="__DdeLink__30912_1194019791"/>
      <w:r>
        <w:rPr>
          <w:rFonts w:ascii="Liberation Serif" w:hAnsi="Liberation Serif"/>
          <w:sz w:val="28"/>
          <w:szCs w:val="28"/>
        </w:rPr>
        <w:t xml:space="preserve">Об утверждении Положения об осуществлении экологического просвещения и формировании экологической культуры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</w:rPr>
      </w:pPr>
      <w:r>
        <w:rPr>
          <w:rFonts w:ascii="Liberation Serif" w:hAnsi="Liberation Serif"/>
          <w:sz w:val="28"/>
          <w:szCs w:val="28"/>
        </w:rPr>
        <w:t>на территории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bookmarkEnd w:id="0"/>
    </w:p>
    <w:p>
      <w:pPr>
        <w:pStyle w:val="ConsPlusTitle"/>
        <w:widowControl/>
        <w:jc w:val="center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ind w:left="540" w:hanging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sz w:val="28"/>
          <w:szCs w:val="28"/>
        </w:rPr>
        <w:t>Утвердить Положение об осуществлении экологического просвещения и формировании экологической культуры на территории  Камышловского городского округа  (прилагается).</w:t>
      </w:r>
    </w:p>
    <w:p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rPr>
          <w:rFonts w:ascii="Liberation Serif" w:hAnsi="Liberation Serif"/>
          <w:bCs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bCs/>
          <w:sz w:val="28"/>
          <w:szCs w:val="28"/>
        </w:rPr>
        <w:t xml:space="preserve">                </w:t>
      </w:r>
    </w:p>
    <w:p>
      <w:pPr>
        <w:pStyle w:val="Normal"/>
        <w:jc w:val="left"/>
        <w:rPr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УТВЕРЖДЕНО </w:t>
      </w:r>
    </w:p>
    <w:tbl>
      <w:tblPr>
        <w:tblStyle w:val="aa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2"/>
        <w:gridCol w:w="4885"/>
      </w:tblGrid>
      <w:tr>
        <w:trPr>
          <w:trHeight w:val="900" w:hRule="atLeast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14.12.</w:t>
            </w:r>
            <w:r>
              <w:rPr>
                <w:rFonts w:ascii="Liberation Serif" w:hAnsi="Liberation Serif"/>
                <w:sz w:val="28"/>
                <w:szCs w:val="28"/>
              </w:rPr>
              <w:t>2020  № 854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осуществлении экологического просвещения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формировании экологической культуры 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2" w:name="bookmark2"/>
      <w:r>
        <w:rPr>
          <w:rFonts w:ascii="Liberation Serif" w:hAnsi="Liberation Serif"/>
          <w:b/>
          <w:sz w:val="28"/>
          <w:szCs w:val="28"/>
        </w:rPr>
        <w:t xml:space="preserve">на территории </w:t>
      </w:r>
      <w:bookmarkEnd w:id="2"/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069" w:hanging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bookmarkStart w:id="3" w:name="bookmark3"/>
      <w:r>
        <w:rPr>
          <w:rFonts w:ascii="Liberation Serif" w:hAnsi="Liberation Serif"/>
          <w:b/>
          <w:sz w:val="28"/>
          <w:szCs w:val="28"/>
        </w:rPr>
        <w:t>Общие положения</w:t>
      </w:r>
      <w:bookmarkEnd w:id="3"/>
    </w:p>
    <w:p>
      <w:pPr>
        <w:pStyle w:val="ListParagraph"/>
        <w:ind w:left="1069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Положение разработано в соответствии с и. 11 ч. 1 ст. 16 (либо с п. 9 ч. 1 ст. 15) Федерального закона от 06.10.2003 № 131-ФЗ «Об общих принципах организации местного самоуправления в Российской Федерации», ст. 74 Федерального закона от 10.01.2002 № 7-ФЗ «Об охране окружающей среды», ст. 15 Закона Свердловской области от 20.03.2006 № 12-03 «Об охране окружающей среды на территории Свердловской области»,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4" w:name="bookmark4"/>
      <w:r>
        <w:rPr>
          <w:rFonts w:ascii="Liberation Serif" w:hAnsi="Liberation Serif"/>
          <w:b/>
          <w:sz w:val="28"/>
          <w:szCs w:val="28"/>
        </w:rPr>
        <w:t>2. Понятия, используемые в настоящем Положении</w:t>
      </w:r>
      <w:bookmarkEnd w:id="4"/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целей настоящего Положения используются следующие понятия: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экологический туризм - природоориентированная туристская деятельность, имеющая целью организацию отдыха и получение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естественнонаучных или практических знаний и опыта, не наносящая вред природной среде.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Основные цели и задачи экологического просвещения и формирования экологической культуры  </w:t>
      </w:r>
      <w:r>
        <w:rPr>
          <w:rFonts w:eastAsia="" w:ascii="Liberation Serif" w:hAnsi="Liberation Serif" w:eastAsiaTheme="majorEastAsia"/>
          <w:b/>
          <w:sz w:val="28"/>
          <w:szCs w:val="28"/>
        </w:rPr>
        <w:t xml:space="preserve">в </w:t>
      </w:r>
      <w:r>
        <w:rPr>
          <w:rFonts w:ascii="Liberation Serif" w:hAnsi="Liberation Serif"/>
          <w:b/>
          <w:sz w:val="28"/>
          <w:szCs w:val="28"/>
        </w:rPr>
        <w:t>Камышловском городском округе</w:t>
      </w:r>
    </w:p>
    <w:p>
      <w:pPr>
        <w:pStyle w:val="ListParagraph"/>
        <w:ind w:left="1069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целями экологического просвещения и формирования экологической</w:t>
        <w:tab/>
        <w:t>культуры</w:t>
        <w:tab/>
        <w:t>на</w:t>
        <w:tab/>
        <w:t xml:space="preserve">территории </w:t>
        <w:tab/>
        <w:t>Камышловского городского округа являются: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бережного отношения к природе и повышение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экологической</w:t>
        <w:tab/>
        <w:t>культуры</w:t>
        <w:tab/>
        <w:t>на</w:t>
        <w:tab/>
        <w:t>территории</w:t>
        <w:tab/>
        <w:t xml:space="preserve">Камышловского городского округа;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сохранение благоприятной окружающей среды, биологического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разнообразия и природных ресурсов.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задачами экологического просвещения и формирования экологической культуры в Камышловском городском округе: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роли особо охраняемых природных территорий как экологопросветительских центров;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привлечение граждан, общественных и иных некоммерческих организаций к участию в реализации экологически значимой деятельности в Камышловском городском округе;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Камышловском городском округе;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создание условий для развития экологического туризма в Камышловском городском округе;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ответственного отношения к обращению с отходами, в том числе раздельному сбору твердых коммунальных отходов.</w:t>
      </w:r>
    </w:p>
    <w:p>
      <w:pPr>
        <w:pStyle w:val="ListParagraph"/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4. </w:t>
      </w:r>
      <w:bookmarkStart w:id="5" w:name="bookmark5"/>
      <w:r>
        <w:rPr>
          <w:rFonts w:ascii="Liberation Serif" w:hAnsi="Liberation Serif"/>
          <w:b/>
          <w:sz w:val="28"/>
          <w:szCs w:val="28"/>
        </w:rPr>
        <w:t xml:space="preserve">Основные принципы экологического просвещения и формирования экологической культуры в </w:t>
      </w:r>
      <w:bookmarkEnd w:id="5"/>
      <w:r>
        <w:rPr>
          <w:rFonts w:ascii="Liberation Serif" w:hAnsi="Liberation Serif"/>
          <w:b/>
          <w:sz w:val="28"/>
          <w:szCs w:val="28"/>
        </w:rPr>
        <w:t>Камышловском городском округе</w:t>
      </w:r>
    </w:p>
    <w:p>
      <w:pPr>
        <w:pStyle w:val="ListParagraph"/>
        <w:ind w:left="786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Основными принципами экологического просвещения и формирования экологической культуры в Камышловском городском округе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системность и непрерывность экологического просвещения;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всеобщность экологического просвещения;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открытость и доступность экологической информации;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направленность экологического просвещения на устойчивое развитие территории Камышловского городского округа, решение актуальных для Камышловского городского округа экологических проблем, сохранение природы - улучшением качества окружающей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6" w:name="bookmark6"/>
      <w:r>
        <w:rPr>
          <w:rFonts w:ascii="Liberation Serif" w:hAnsi="Liberation Serif"/>
          <w:b/>
          <w:sz w:val="28"/>
          <w:szCs w:val="28"/>
        </w:rPr>
        <w:t>5. Права граждан, общественных объединений и иных организаций в</w:t>
      </w:r>
      <w:bookmarkEnd w:id="6"/>
      <w:r>
        <w:rPr>
          <w:rFonts w:ascii="Liberation Serif" w:hAnsi="Liberation Serif"/>
          <w:b/>
          <w:sz w:val="28"/>
          <w:szCs w:val="28"/>
        </w:rPr>
        <w:t xml:space="preserve"> сфере экологического просвещения, формирования экологической культуры</w:t>
      </w:r>
    </w:p>
    <w:p>
      <w:pPr>
        <w:pStyle w:val="Normal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осуществлять иные права в соответствии с законодательством.</w:t>
      </w:r>
    </w:p>
    <w:p>
      <w:pPr>
        <w:pStyle w:val="ListParagraph"/>
        <w:ind w:left="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bookmarkStart w:id="7" w:name="bookmark7"/>
      <w:r>
        <w:rPr>
          <w:rFonts w:ascii="Liberation Serif" w:hAnsi="Liberation Serif"/>
          <w:b/>
          <w:sz w:val="28"/>
          <w:szCs w:val="28"/>
        </w:rPr>
        <w:t>Экологическое просвещение населения</w:t>
      </w:r>
      <w:bookmarkEnd w:id="7"/>
    </w:p>
    <w:p>
      <w:pPr>
        <w:pStyle w:val="ListParagraph"/>
        <w:ind w:left="786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Экологическое просвещение населения в Камышловском городском округе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</w:t>
        <w:tab/>
        <w:t>посредством размещения</w:t>
        <w:tab/>
        <w:t>информации органом местного самоуправления на официальном сайте Камышловского городского округа в информационно-телекоммуникационной сети «Интернет»;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эколого-просветительская</w:t>
        <w:tab/>
        <w:t>деятельность</w:t>
        <w:tab/>
        <w:t>(научно-практические конференции, форумы, конкурсы, фестивали, выставки, экологические акции и другое);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экологический туризм;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иные формы, не противоречащие действующему законодательству.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7. Участие в экологическом просвещении и формировании экологической культуры в Камышловском городском округе музеев, библиотек и средств массовой информации</w:t>
      </w:r>
    </w:p>
    <w:p>
      <w:pPr>
        <w:pStyle w:val="ListParagraph"/>
        <w:ind w:left="2345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 Основными формами работы и видами деятельности музеев в сфере экологического просвещения и формирования экологической культуры в Камышловском городском округе являются: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7.2. Библиотеки в соответствии со своими уставами участвуют в экологическом просвещении и формировании экологической культуры в Камышловском городском округе 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Камышловского городского округа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 Орган местного самоуправления Камышловского городского округа обеспечивает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8. Финансовое обеспечение деятельности </w:t>
      </w:r>
    </w:p>
    <w:p>
      <w:pPr>
        <w:pStyle w:val="ListParagraph"/>
        <w:numPr>
          <w:ilvl w:val="0"/>
          <w:numId w:val="0"/>
        </w:numPr>
        <w:ind w:left="2345" w:hanging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сфере экологического просвещения и формирования экологической культуры в Камышловском городском округе</w:t>
      </w:r>
    </w:p>
    <w:p>
      <w:pPr>
        <w:pStyle w:val="ListParagraph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Финансовое обеспечение деятельности в сфере экологического просвещения и формирования экологической культуры в Камышловском городском округе может осуществляться за счет средств местного бюджета Камышловского городского округа, а также иных не запрещенных законодательством Российской Федерации источников.</w:t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638" w:hanging="1080"/>
      </w:pPr>
    </w:lvl>
    <w:lvl w:ilvl="5">
      <w:start w:val="1"/>
      <w:numFmt w:val="decimal"/>
      <w:lvlText w:val="%1.%2.%3.%4.%5.%6."/>
      <w:lvlJc w:val="left"/>
      <w:pPr>
        <w:ind w:left="3281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07" w:hanging="1800"/>
      </w:pPr>
    </w:lvl>
    <w:lvl w:ilvl="8">
      <w:start w:val="1"/>
      <w:numFmt w:val="decimal"/>
      <w:lvlText w:val="%1.%2.%3.%4.%5.%6.%7.%8.%9."/>
      <w:lvlJc w:val="left"/>
      <w:pPr>
        <w:ind w:left="4850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0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27f7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d160e5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160e5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160e5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160e5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7f7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8402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абл назв Знак"/>
    <w:basedOn w:val="DefaultParagraphFont"/>
    <w:link w:val="ac"/>
    <w:qFormat/>
    <w:rsid w:val="00fa31c2"/>
    <w:rPr>
      <w:rFonts w:ascii="Times New Roman" w:hAnsi="Times New Roman" w:cs="Times New Roman"/>
      <w:i/>
      <w:iCs/>
      <w:sz w:val="24"/>
      <w:szCs w:val="18"/>
    </w:rPr>
  </w:style>
  <w:style w:type="character" w:styleId="12" w:customStyle="1">
    <w:name w:val="Заголовок №1_"/>
    <w:basedOn w:val="DefaultParagraphFont"/>
    <w:link w:val="12"/>
    <w:qFormat/>
    <w:locked/>
    <w:rsid w:val="00b4510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3" w:customStyle="1">
    <w:name w:val="Основной текст (2)_"/>
    <w:basedOn w:val="DefaultParagraphFont"/>
    <w:link w:val="24"/>
    <w:qFormat/>
    <w:locked/>
    <w:rsid w:val="00b4510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locked/>
    <w:rsid w:val="00b45108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24" w:customStyle="1">
    <w:name w:val="Основной текст (2) + Курсив"/>
    <w:basedOn w:val="23"/>
    <w:qFormat/>
    <w:rsid w:val="00b45108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13" w:customStyle="1">
    <w:name w:val="Заголовок №1 + Курсив"/>
    <w:basedOn w:val="12"/>
    <w:qFormat/>
    <w:rsid w:val="00b45108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locked/>
    <w:rsid w:val="00b45108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locked/>
    <w:rsid w:val="00b4510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1" w:customStyle="1">
    <w:name w:val="Основной текст (3) + Не курсив"/>
    <w:basedOn w:val="3"/>
    <w:qFormat/>
    <w:rsid w:val="00b45108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1" w:customStyle="1">
    <w:name w:val="Основной текст (4) + Курсив"/>
    <w:basedOn w:val="4"/>
    <w:qFormat/>
    <w:rsid w:val="00b45108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2" w:customStyle="1">
    <w:name w:val="Основной текст (4) + Не полужирный"/>
    <w:basedOn w:val="12"/>
    <w:qFormat/>
    <w:rsid w:val="00b45108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locked/>
    <w:rsid w:val="00b45108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link w:val="a4"/>
    <w:rsid w:val="00d160e5"/>
    <w:pPr>
      <w:jc w:val="both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d16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6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d160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160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6a2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semiHidden/>
    <w:unhideWhenUsed/>
    <w:qFormat/>
    <w:rsid w:val="008402e7"/>
    <w:pPr>
      <w:spacing w:lineRule="auto" w:line="480" w:before="0" w:after="120"/>
    </w:pPr>
    <w:rPr/>
  </w:style>
  <w:style w:type="paragraph" w:styleId="Style24" w:customStyle="1">
    <w:name w:val="Табл назв"/>
    <w:basedOn w:val="Caption"/>
    <w:link w:val="ae"/>
    <w:qFormat/>
    <w:rsid w:val="00fa31c2"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c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14" w:customStyle="1">
    <w:name w:val="Заголовок №1"/>
    <w:basedOn w:val="Normal"/>
    <w:link w:val="11"/>
    <w:qFormat/>
    <w:rsid w:val="00b45108"/>
    <w:pPr>
      <w:widowControl w:val="false"/>
      <w:shd w:val="clear" w:color="auto" w:fill="FFFFFF"/>
      <w:spacing w:lineRule="exact" w:line="653"/>
      <w:ind w:firstLine="640"/>
      <w:outlineLvl w:val="0"/>
    </w:pPr>
    <w:rPr>
      <w:b/>
      <w:bCs/>
      <w:sz w:val="28"/>
      <w:szCs w:val="28"/>
      <w:lang w:eastAsia="en-US"/>
    </w:rPr>
  </w:style>
  <w:style w:type="paragraph" w:styleId="25" w:customStyle="1">
    <w:name w:val="Основной текст (2)"/>
    <w:basedOn w:val="Normal"/>
    <w:link w:val="23"/>
    <w:qFormat/>
    <w:rsid w:val="00b45108"/>
    <w:pPr>
      <w:widowControl w:val="false"/>
      <w:shd w:val="clear" w:color="auto" w:fill="FFFFFF"/>
      <w:spacing w:lineRule="exact" w:line="322" w:before="300" w:after="0"/>
      <w:jc w:val="both"/>
    </w:pPr>
    <w:rPr>
      <w:sz w:val="28"/>
      <w:szCs w:val="28"/>
      <w:lang w:eastAsia="en-US"/>
    </w:rPr>
  </w:style>
  <w:style w:type="paragraph" w:styleId="71" w:customStyle="1">
    <w:name w:val="Основной текст (7)"/>
    <w:basedOn w:val="Normal"/>
    <w:link w:val="7"/>
    <w:qFormat/>
    <w:rsid w:val="00b45108"/>
    <w:pPr>
      <w:widowControl w:val="false"/>
      <w:shd w:val="clear" w:color="auto" w:fill="FFFFFF"/>
      <w:spacing w:lineRule="exact" w:line="322" w:before="0" w:after="300"/>
      <w:jc w:val="center"/>
    </w:pPr>
    <w:rPr>
      <w:b/>
      <w:bCs/>
      <w:i/>
      <w:iCs/>
      <w:sz w:val="28"/>
      <w:szCs w:val="28"/>
      <w:lang w:eastAsia="en-US"/>
    </w:rPr>
  </w:style>
  <w:style w:type="paragraph" w:styleId="32" w:customStyle="1">
    <w:name w:val="Основной текст (3)"/>
    <w:basedOn w:val="Normal"/>
    <w:link w:val="3"/>
    <w:qFormat/>
    <w:rsid w:val="00b45108"/>
    <w:pPr>
      <w:widowControl w:val="false"/>
      <w:shd w:val="clear" w:color="auto" w:fill="FFFFFF"/>
      <w:spacing w:lineRule="auto" w:line="240" w:before="0" w:after="420"/>
      <w:jc w:val="center"/>
    </w:pPr>
    <w:rPr>
      <w:i/>
      <w:iCs/>
      <w:sz w:val="28"/>
      <w:szCs w:val="28"/>
      <w:lang w:eastAsia="en-US"/>
    </w:rPr>
  </w:style>
  <w:style w:type="paragraph" w:styleId="43" w:customStyle="1">
    <w:name w:val="Основной текст (4)"/>
    <w:basedOn w:val="Normal"/>
    <w:link w:val="4"/>
    <w:qFormat/>
    <w:rsid w:val="00b45108"/>
    <w:pPr>
      <w:widowControl w:val="false"/>
      <w:shd w:val="clear" w:color="auto" w:fill="FFFFFF"/>
      <w:spacing w:lineRule="exact" w:line="322" w:before="300" w:after="300"/>
      <w:ind w:firstLine="540"/>
    </w:pPr>
    <w:rPr>
      <w:b/>
      <w:bCs/>
      <w:sz w:val="28"/>
      <w:szCs w:val="28"/>
      <w:lang w:eastAsia="en-US"/>
    </w:rPr>
  </w:style>
  <w:style w:type="paragraph" w:styleId="81" w:customStyle="1">
    <w:name w:val="Основной текст (8)"/>
    <w:basedOn w:val="Normal"/>
    <w:link w:val="8"/>
    <w:qFormat/>
    <w:rsid w:val="00b45108"/>
    <w:pPr>
      <w:widowControl w:val="false"/>
      <w:shd w:val="clear" w:color="auto" w:fill="FFFFFF"/>
      <w:spacing w:lineRule="exact" w:line="314" w:before="0" w:after="300"/>
      <w:jc w:val="center"/>
    </w:pPr>
    <w:rPr>
      <w:b/>
      <w:bCs/>
      <w:sz w:val="28"/>
      <w:szCs w:val="28"/>
      <w:lang w:eastAsia="en-US"/>
    </w:rPr>
  </w:style>
  <w:style w:type="paragraph" w:styleId="Style25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LibreOffice/6.3.4.2$Windows_X86_64 LibreOffice_project/60da17e045e08f1793c57c00ba83cdfce946d0aa</Application>
  <Pages>5</Pages>
  <Words>1150</Words>
  <Characters>8945</Characters>
  <CharactersWithSpaces>10151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2020-05-07T11:57:00Z</dcterms:created>
  <dc:creator>пк3</dc:creator>
  <dc:description/>
  <dc:language>ru-RU</dc:language>
  <cp:lastModifiedBy/>
  <cp:lastPrinted>2020-12-16T13:17:20Z</cp:lastPrinted>
  <dcterms:modified xsi:type="dcterms:W3CDTF">2020-12-16T13:23:21Z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