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02</w:t>
      </w:r>
      <w:r>
        <w:rPr>
          <w:rFonts w:ascii="Liberation Serif" w:hAnsi="Liberation Serif"/>
          <w:b/>
          <w:sz w:val="28"/>
          <w:szCs w:val="28"/>
        </w:rPr>
        <w:t>.0</w:t>
      </w:r>
      <w:r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.2021  N </w:t>
      </w:r>
      <w:r>
        <w:rPr>
          <w:rFonts w:ascii="Liberation Serif" w:hAnsi="Liberation Serif"/>
          <w:b/>
          <w:sz w:val="28"/>
          <w:szCs w:val="28"/>
        </w:rPr>
        <w:t>226</w:t>
      </w:r>
    </w:p>
    <w:p>
      <w:pPr>
        <w:pStyle w:val="Normal"/>
        <w:widowControl/>
        <w:ind w:left="0" w:right="23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3"/>
          <w:rFonts w:ascii="Liberation Serif" w:hAnsi="Liberation Serif"/>
          <w:i w:val="false"/>
          <w:color w:val="000000"/>
          <w:sz w:val="28"/>
          <w:szCs w:val="28"/>
        </w:rPr>
        <w:t>О предоставлении бюджетных инвестиций в приобретение объектов муниципальной собственности (недвижимого имущества) «Жилые помещения, для последующего распределения, по подпрограмме «Переселение граждан на территории Камышловского городского округа из аварийного жилищного фонда» в 2021 году»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"/>
        <w:shd w:fill="FFFFFF" w:val="clear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В соответствии </w:t>
      </w:r>
      <w:r>
        <w:rPr>
          <w:rStyle w:val="611pt"/>
          <w:rFonts w:eastAsia="Calibri" w:ascii="Liberation Serif" w:hAnsi="Liberation Serif"/>
          <w:sz w:val="28"/>
          <w:szCs w:val="28"/>
        </w:rPr>
        <w:t>с Федеральн</w:t>
      </w:r>
      <w:r>
        <w:rPr>
          <w:rStyle w:val="611pt"/>
          <w:rFonts w:eastAsia="Sylfaen" w:ascii="Liberation Serif" w:hAnsi="Liberation Serif"/>
          <w:sz w:val="28"/>
          <w:szCs w:val="28"/>
        </w:rPr>
        <w:t>ым</w:t>
      </w:r>
      <w:r>
        <w:rPr>
          <w:rStyle w:val="611pt"/>
          <w:rFonts w:eastAsia="Calibri" w:ascii="Liberation Serif" w:hAnsi="Liberation Serif"/>
          <w:sz w:val="28"/>
          <w:szCs w:val="28"/>
        </w:rPr>
        <w:t xml:space="preserve"> законом </w:t>
      </w:r>
      <w:r>
        <w:rPr>
          <w:rStyle w:val="Style13"/>
          <w:rFonts w:ascii="Liberation Serif" w:hAnsi="Liberation Serif"/>
          <w:sz w:val="28"/>
          <w:szCs w:val="28"/>
        </w:rPr>
        <w:t xml:space="preserve">Российской Федерации </w:t>
      </w:r>
      <w:r>
        <w:rPr>
          <w:rStyle w:val="611pt"/>
          <w:rFonts w:eastAsia="Calibri" w:ascii="Liberation Serif" w:hAnsi="Liberation Serif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Региональной адресной программой </w:t>
      </w:r>
      <w:r>
        <w:rPr>
          <w:rFonts w:ascii="Liberation Serif" w:hAnsi="Liberation Serif"/>
          <w:sz w:val="28"/>
          <w:szCs w:val="28"/>
        </w:rPr>
        <w:t xml:space="preserve">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№ 208-ПП (в ред. от 03.12.2020 № 890-ПП),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с постановлением администрации Камышловского городского округа от 09.03.2021 № 158 «О Порядках принятия решений о подготовке и реализации бюджетных инвестиций в объекты муниципальной собственности Камышловского городского округа и осуществления указанных бюджетных инвестиций за счет средств местного бюджета», Устава Камышловского городского округа, администрация Камышловского городского округа</w:t>
      </w:r>
    </w:p>
    <w:p>
      <w:pPr>
        <w:pStyle w:val="1"/>
        <w:shd w:fill="FFFFFF" w:val="clear"/>
        <w:spacing w:lineRule="exact" w:line="326" w:before="0" w:after="0"/>
        <w:ind w:left="0" w:right="20" w:hanging="0"/>
        <w:jc w:val="both"/>
        <w:rPr/>
      </w:pPr>
      <w:r>
        <w:rPr>
          <w:rStyle w:val="Style13"/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Style32"/>
        <w:numPr>
          <w:ilvl w:val="0"/>
          <w:numId w:val="2"/>
        </w:numPr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Предоставить бюджетные инвестиции в приобретение объектов муниципальной собственности (недвижимого имущества) «Жилые помещения, для последующего распределения, по подпрограмме «Переселение граждан на территории Камышловского городского округа из аварийного жилищного фонда» в 2021 году за счет бюджета Камышловского городского округа на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объекты недвижимого имущества</w:t>
      </w:r>
      <w:r>
        <w:rPr>
          <w:rStyle w:val="Style13"/>
          <w:rFonts w:ascii="Liberation Serif" w:hAnsi="Liberation Serif"/>
          <w:sz w:val="28"/>
          <w:szCs w:val="28"/>
        </w:rPr>
        <w:t>: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Наименование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объектов недвижимого имущества: «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Жилые помещения, для последующего распределения, по подпрограмме «Переселения граждан на территории Камышловского городского округа из аварийного жилищного фонда» в 2021 году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» муниципальной программы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«Развитие социально-экономического комплекса Камышловского городского округа с 2021 по 2027 годы», утвержденной постановлением администрации Камышловского городского округа от 09.11.2018 № 965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(в ред. от 08.02.2021 г. № 96).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134" w:top="556" w:footer="1134" w:bottom="1407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Направление инвестирования: приобретение объектов недвижимости.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Главный распорядитель средств местного бюджета – Администрация Камышловского городского округа.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Организация, которой предоставляются бюджетные инвестиции - Муниципальное казенное учреждение «Центр обеспечения деятельности администрации Камышловского городского округа».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Предполагаемый срок приобретения объектов недвижимости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– 2021 год.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Предполагаемая стоимость приобретаемых объектов недвижимости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в сумме 14 164 172,80 руб. в количестве 16 жилых помещений общей площадью </w:t>
      </w:r>
      <w:r>
        <w:rPr>
          <w:rStyle w:val="Style13"/>
          <w:rFonts w:cs="Times New Roman" w:ascii="Liberation Serif" w:hAnsi="Liberation Serif"/>
          <w:sz w:val="28"/>
          <w:szCs w:val="28"/>
        </w:rPr>
        <w:t>жилых помещений 396,8 кв. м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Общий (предельный) объем бюджетных инвестиций с разбивкой по годам (в ценах соответствующих лет): </w:t>
      </w:r>
    </w:p>
    <w:p>
      <w:pPr>
        <w:pStyle w:val="ConsPlusNonformat"/>
        <w:ind w:left="0" w:right="0" w:firstLine="1276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2021 год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–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14 164 172,80  руб.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на приобретение 16 жилых помещений на вторичном рынке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общей площадью </w:t>
      </w:r>
      <w:r>
        <w:rPr>
          <w:rStyle w:val="Style13"/>
          <w:rFonts w:cs="Times New Roman" w:ascii="Liberation Serif" w:hAnsi="Liberation Serif"/>
          <w:sz w:val="28"/>
          <w:szCs w:val="28"/>
        </w:rPr>
        <w:t>жилых помещений не менее 396,8 кв. м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ConsPlusNonformat"/>
        <w:tabs>
          <w:tab w:val="clear" w:pos="708"/>
          <w:tab w:val="left" w:pos="993" w:leader="none"/>
        </w:tabs>
        <w:ind w:left="0" w:right="0" w:firstLine="567"/>
        <w:jc w:val="both"/>
        <w:rPr/>
      </w:pPr>
      <w:r>
        <w:rPr>
          <w:rStyle w:val="Style13"/>
          <w:rFonts w:eastAsia="Times New Roman" w:cs="Times New Roman" w:ascii="Liberation Serif" w:hAnsi="Liberation Serif"/>
          <w:color w:val="000000"/>
          <w:sz w:val="28"/>
          <w:szCs w:val="28"/>
        </w:rPr>
        <w:t xml:space="preserve">2. </w:t>
      </w:r>
      <w:r>
        <w:rPr>
          <w:rStyle w:val="Style13"/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shd w:fill="FFFFFF" w:val="clear"/>
        <w:tabs>
          <w:tab w:val="clear" w:pos="708"/>
          <w:tab w:val="left" w:pos="684" w:leader="none"/>
        </w:tabs>
        <w:spacing w:lineRule="auto" w:line="240" w:before="0" w:after="0"/>
        <w:ind w:left="0" w:right="2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 Контроль за исполнением настоящего постановления оставляю за собой.</w:t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</w:t>
        <w:tab/>
        <w:t xml:space="preserve">                 А.В. Половников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</w:t>
      </w:r>
    </w:p>
    <w:sectPr>
      <w:headerReference w:type="default" r:id="rId5"/>
      <w:footerReference w:type="default" r:id="rId6"/>
      <w:type w:val="nextPage"/>
      <w:pgSz w:w="11906" w:h="16838"/>
      <w:pgMar w:left="1701" w:right="567" w:header="1134" w:top="556" w:footer="1134" w:bottom="14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41" w:hanging="432"/>
      </w:pPr>
      <w:rPr>
        <w:sz w:val="28"/>
        <w:szCs w:val="28"/>
        <w:rFonts w:ascii="Liberation Serif" w:hAnsi="Liberation Serif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  <w:rFonts w:ascii="Liberation Serif" w:hAnsi="Liberation Serif" w:cs="Times New Roman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Times New Roman" w:hAnsi="Times New Roman" w:cs="Times New Roman"/>
        <w:color w:val="auto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3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3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8">
    <w:name w:val="Гипертекстовая ссылка"/>
    <w:basedOn w:val="Style13"/>
    <w:qFormat/>
    <w:rPr>
      <w:color w:val="106BBE"/>
    </w:rPr>
  </w:style>
  <w:style w:type="character" w:styleId="21">
    <w:name w:val="Заголовок 2 Знак"/>
    <w:basedOn w:val="Style13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9">
    <w:name w:val="Интернет-ссылка"/>
    <w:rPr>
      <w:color w:val="000080"/>
      <w:u w:val="single"/>
    </w:rPr>
  </w:style>
  <w:style w:type="character" w:styleId="Style20">
    <w:name w:val="Символ концевой сноски"/>
    <w:qFormat/>
    <w:rPr/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9LVL1">
    <w:name w:val="WW_CharLFO9LVL1"/>
    <w:qFormat/>
    <w:rPr>
      <w:rFonts w:ascii="Liberation Serif" w:hAnsi="Liberation Serif"/>
      <w:color w:val="000000"/>
      <w:sz w:val="28"/>
      <w:szCs w:val="28"/>
    </w:rPr>
  </w:style>
  <w:style w:type="character" w:styleId="WWCharLFO9LVL2">
    <w:name w:val="WW_CharLFO9LVL2"/>
    <w:qFormat/>
    <w:rPr>
      <w:rFonts w:ascii="Liberation Serif" w:hAnsi="Liberation Serif" w:cs="Times New Roman"/>
      <w:color w:val="auto"/>
      <w:sz w:val="28"/>
      <w:szCs w:val="28"/>
    </w:rPr>
  </w:style>
  <w:style w:type="character" w:styleId="WWCharLFO9LVL3">
    <w:name w:val="WW_CharLFO9LVL3"/>
    <w:qFormat/>
    <w:rPr>
      <w:rFonts w:ascii="Times New Roman" w:hAnsi="Times New Roman" w:cs="Times New Roman"/>
      <w:color w:val="auto"/>
    </w:rPr>
  </w:style>
  <w:style w:type="character" w:styleId="WWCharLFO9LVL4">
    <w:name w:val="WW_CharLFO9LVL4"/>
    <w:qFormat/>
    <w:rPr>
      <w:rFonts w:ascii="Times New Roman" w:hAnsi="Times New Roman" w:cs="Times New Roman"/>
      <w:color w:val="auto"/>
    </w:rPr>
  </w:style>
  <w:style w:type="character" w:styleId="WWCharLFO9LVL5">
    <w:name w:val="WW_CharLFO9LVL5"/>
    <w:qFormat/>
    <w:rPr>
      <w:rFonts w:ascii="Times New Roman" w:hAnsi="Times New Roman" w:cs="Times New Roman"/>
      <w:color w:val="auto"/>
    </w:rPr>
  </w:style>
  <w:style w:type="character" w:styleId="WWCharLFO9LVL6">
    <w:name w:val="WW_CharLFO9LVL6"/>
    <w:qFormat/>
    <w:rPr>
      <w:rFonts w:ascii="Times New Roman" w:hAnsi="Times New Roman" w:cs="Times New Roman"/>
      <w:color w:val="auto"/>
    </w:rPr>
  </w:style>
  <w:style w:type="character" w:styleId="WWCharLFO9LVL7">
    <w:name w:val="WW_CharLFO9LVL7"/>
    <w:qFormat/>
    <w:rPr>
      <w:rFonts w:ascii="Times New Roman" w:hAnsi="Times New Roman" w:cs="Times New Roman"/>
      <w:color w:val="auto"/>
    </w:rPr>
  </w:style>
  <w:style w:type="character" w:styleId="WWCharLFO9LVL8">
    <w:name w:val="WW_CharLFO9LVL8"/>
    <w:qFormat/>
    <w:rPr>
      <w:rFonts w:ascii="Times New Roman" w:hAnsi="Times New Roman" w:cs="Times New Roman"/>
      <w:color w:val="auto"/>
    </w:rPr>
  </w:style>
  <w:style w:type="character" w:styleId="WWCharLFO9LVL9">
    <w:name w:val="WW_CharLFO9LVL9"/>
    <w:qFormat/>
    <w:rPr>
      <w:rFonts w:ascii="Times New Roman" w:hAnsi="Times New Roman" w:cs="Times New Roman"/>
      <w:color w:val="auto"/>
    </w:rPr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List"/>
    <w:basedOn w:val="Style23"/>
    <w:pPr>
      <w:suppressAutoHyphens w:val="true"/>
    </w:pPr>
    <w:rPr>
      <w:rFonts w:cs="Lucida Sans"/>
      <w:sz w:val="24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3">
    <w:name w:val="Содержимое врезки"/>
    <w:basedOn w:val="Normal"/>
    <w:qFormat/>
    <w:pPr>
      <w:suppressAutoHyphens w:val="true"/>
    </w:pPr>
    <w:rPr/>
  </w:style>
  <w:style w:type="paragraph" w:styleId="Style3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867</TotalTime>
  <Application>LibreOffice/6.3.4.2$Windows_X86_64 LibreOffice_project/60da17e045e08f1793c57c00ba83cdfce946d0aa</Application>
  <Pages>2</Pages>
  <Words>388</Words>
  <CharactersWithSpaces>3230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2021-04-02T11:37:00Z</cp:lastPrinted>
  <dcterms:modified xsi:type="dcterms:W3CDTF">2021-04-02T11:42:26Z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