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84505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5" t="-230" r="-355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widowControl/>
        <w:shd w:fill="FFFFFF" w:val="clear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10.02.2022 N 11</w:t>
      </w: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3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Style w:val="Style12"/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18.06.2021 №417, от 20.07.2021 № 495, от 24.09.2021 №694,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14.12.2021 № 926, от 25.01.2022 №51)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0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16.12.2021 № 45 «</w:t>
      </w:r>
      <w:r>
        <w:rPr>
          <w:rStyle w:val="Style12"/>
          <w:bCs/>
          <w:color w:val="000000"/>
          <w:sz w:val="28"/>
          <w:szCs w:val="28"/>
        </w:rPr>
        <w:t>О бюджете Камышловского городского округа на 2022 год и плановый период 2023 и 2024 годов</w:t>
      </w:r>
      <w:r>
        <w:rPr>
          <w:rStyle w:val="Style12"/>
          <w:color w:val="000000"/>
          <w:sz w:val="28"/>
          <w:szCs w:val="28"/>
        </w:rPr>
        <w:t xml:space="preserve">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№51), следующие изменения: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1.1.В паспорте Программы: строку «Объемы финансирования Программы по годам реализации, тыс. рублей» изложить в следующей редакции:</w:t>
      </w:r>
    </w:p>
    <w:tbl>
      <w:tblPr>
        <w:tblW w:w="44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4265"/>
      </w:tblGrid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«ВСЕГО:1 751 613 462,78 рублей, в том числе:</w:t>
            </w:r>
          </w:p>
        </w:tc>
      </w:tr>
      <w:tr>
        <w:trPr>
          <w:trHeight w:val="228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- 289 218 923,78 рублей, 2022 год - 305 936 135,00 рублей, 2023 год - 333 968 417,00 рублей, 2024 год - 241 964 874,00 рублей, 2025 год - 193 508 371,00 рублей, 2026 год - 193 508 371,00 рублей,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- 193 508 371,00 рублей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683 198 368,23 рублей, в том числе:</w:t>
            </w:r>
          </w:p>
        </w:tc>
      </w:tr>
      <w:tr>
        <w:trPr>
          <w:trHeight w:val="234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- 96 176 468,23 рублей, 2022 год - 97 135 100,00 рублей, 2023 год - 100 960 400,00 рублей, 2024 год - 104 208 100,00 рублей, 2025 год - 94 906 100,00 рублей,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- 94 906 100,00 рублей, 2027 год - 94 906 100,00 рублей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142 490 404,16 рублей, в том числе:</w:t>
            </w:r>
          </w:p>
        </w:tc>
      </w:tr>
      <w:tr>
        <w:trPr>
          <w:trHeight w:val="2325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- 66 836 504,16 рублей, 2022 год - 13 474 900,00 рублей, 2023 год - 13 288 100,00 рублей, 2024 год - 13 287 200,00 рублей, 2025 год - 11 867 900,00 рублей, 2026 год - 11 867 900,00 рублей, 2027 год - 11 867 900,00 рублей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925 924 690,39 рублей, в том числе: </w:t>
            </w:r>
          </w:p>
        </w:tc>
      </w:tr>
      <w:tr>
        <w:trPr>
          <w:trHeight w:val="360" w:hRule="atLeast"/>
        </w:trPr>
        <w:tc>
          <w:tcPr>
            <w:tcW w:w="142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265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- 126 205 951,39 рублей, 2022 год - 195 326 135,00 рублей, 2023 год - 219 719 917,00 рублей, 2024 год - 124 469 574,00 рублей, 2025 год - 86 734 371,00 рублей, 2026 год - 86 734 371,00 рублей, 2027 год - 86 734 371,00 рублей»</w:t>
            </w:r>
          </w:p>
        </w:tc>
      </w:tr>
    </w:tbl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>2.Настоящее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0"/>
        <w:rPr/>
      </w:pPr>
      <w:r>
        <w:rPr/>
      </w:r>
    </w:p>
    <w:p>
      <w:pPr>
        <w:pStyle w:val="Normal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32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bidi="ar-SA" w:val="ru-RU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LibreOffice/6.4.7.2$Linux_X86_64 LibreOffice_project/40$Build-2</Application>
  <Pages>3</Pages>
  <Words>565</Words>
  <Characters>3251</Characters>
  <CharactersWithSpaces>3879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2022-02-10T15:19:13Z</cp:lastPrinted>
  <dcterms:modified xsi:type="dcterms:W3CDTF">2022-02-10T15:19:33Z</dcterms:modified>
  <cp:revision>12</cp:revision>
  <dc:subject/>
  <dc:title> </dc:title>
</cp:coreProperties>
</file>