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w:t>
      </w:r>
      <w:r>
        <w:rPr>
          <w:rFonts w:cs="Liberation Serif" w:ascii="Liberation Serif" w:hAnsi="Liberation Serif"/>
          <w:b/>
          <w:bCs/>
          <w:sz w:val="24"/>
          <w:szCs w:val="24"/>
        </w:rPr>
        <w:t>V</w:t>
      </w:r>
      <w:r>
        <w:rPr>
          <w:rFonts w:cs="Liberation Serif" w:ascii="Liberation Serif" w:hAnsi="Liberation Serif"/>
          <w:b/>
          <w:bCs/>
          <w:sz w:val="24"/>
          <w:szCs w:val="24"/>
        </w:rPr>
        <w:t xml:space="preserve"> квартал 2022 года</w:t>
      </w:r>
    </w:p>
    <w:p>
      <w:pPr>
        <w:pStyle w:val="Normal"/>
        <w:jc w:val="center"/>
        <w:rPr>
          <w:rFonts w:ascii="Liberation Serif" w:hAnsi="Liberation Serif" w:cs="Liberation Serif"/>
          <w:b/>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lastRow="0" w:firstRow="1" w:lastColumn="0" w:firstColumn="1" w:val="04a0" w:noHBand="0" w:noVBand="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b/>
              </w:rPr>
            </w:pPr>
            <w:r>
              <w:rPr>
                <w:rFonts w:ascii="Liberation Serif" w:hAnsi="Liberation Serif"/>
                <w:b/>
              </w:rPr>
            </w:r>
          </w:p>
          <w:p>
            <w:pPr>
              <w:pStyle w:val="Normal"/>
              <w:widowControl w:val="false"/>
              <w:jc w:val="center"/>
              <w:rPr>
                <w:rFonts w:ascii="Liberation Serif" w:hAnsi="Liberation Serif"/>
                <w:b/>
                <w:b/>
                <w:sz w:val="24"/>
                <w:szCs w:val="24"/>
              </w:rPr>
            </w:pPr>
            <w:r>
              <w:rPr>
                <w:rFonts w:ascii="Liberation Serif" w:hAnsi="Liberation Serif"/>
                <w:b/>
                <w:sz w:val="24"/>
                <w:szCs w:val="24"/>
              </w:rPr>
            </w:r>
          </w:p>
          <w:p>
            <w:pPr>
              <w:pStyle w:val="Normal"/>
              <w:widowControl w:val="false"/>
              <w:jc w:val="center"/>
              <w:rPr>
                <w:rFonts w:ascii="Liberation Serif" w:hAnsi="Liberation Serif"/>
                <w:b/>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noVBand="1" w:val="04a0" w:noHBand="0" w:lastColumn="0" w:firstColumn="1" w:lastRow="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w:t>
            </w:r>
          </w:p>
          <w:p>
            <w:pPr>
              <w:pStyle w:val="Normal"/>
              <w:widowControl w:val="false"/>
              <w:rPr>
                <w:rFonts w:ascii="Liberation Serif" w:hAnsi="Liberation Serif"/>
                <w:b/>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 xml:space="preserve">Координация работы членов рабочей группы </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12</w:t>
            </w:r>
            <w:r>
              <w:rPr>
                <w:rFonts w:ascii="Liberation Serif" w:hAnsi="Liberation Serif"/>
                <w:sz w:val="22"/>
                <w:szCs w:val="22"/>
              </w:rPr>
              <w:t xml:space="preserve"> заседаний рабочей группы.</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1</w:t>
            </w:r>
            <w:r>
              <w:rPr>
                <w:rFonts w:eastAsia="Times New Roman" w:cs="Times New Roman" w:ascii="Liberation Serif" w:hAnsi="Liberation Serif"/>
                <w:b/>
                <w:color w:val="auto"/>
                <w:kern w:val="0"/>
                <w:sz w:val="22"/>
                <w:szCs w:val="22"/>
                <w:lang w:val="ru-RU" w:eastAsia="ru-RU" w:bidi="ar-SA"/>
              </w:rPr>
              <w:t>11</w:t>
            </w:r>
            <w:r>
              <w:rPr>
                <w:rFonts w:ascii="Liberation Serif" w:hAnsi="Liberation Serif"/>
                <w:b/>
                <w:sz w:val="22"/>
                <w:szCs w:val="22"/>
              </w:rPr>
              <w:t xml:space="preserve"> </w:t>
            </w:r>
            <w:r>
              <w:rPr>
                <w:rFonts w:ascii="Liberation Serif" w:hAnsi="Liberation Serif"/>
                <w:sz w:val="22"/>
                <w:szCs w:val="22"/>
              </w:rPr>
              <w:t xml:space="preserve">человек. </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6</w:t>
            </w:r>
            <w:r>
              <w:rPr>
                <w:rFonts w:eastAsia="Times New Roman" w:cs="Times New Roman" w:ascii="Liberation Serif" w:hAnsi="Liberation Serif"/>
                <w:b/>
                <w:color w:val="auto"/>
                <w:kern w:val="0"/>
                <w:sz w:val="22"/>
                <w:szCs w:val="22"/>
                <w:lang w:val="ru-RU" w:eastAsia="ru-RU" w:bidi="ar-SA"/>
              </w:rPr>
              <w:t>4</w:t>
            </w:r>
            <w:r>
              <w:rPr>
                <w:rFonts w:ascii="Liberation Serif" w:hAnsi="Liberation Serif"/>
                <w:b/>
                <w:sz w:val="22"/>
                <w:szCs w:val="22"/>
              </w:rPr>
              <w:t xml:space="preserve"> </w:t>
            </w:r>
            <w:r>
              <w:rPr>
                <w:rFonts w:ascii="Liberation Serif" w:hAnsi="Liberation Serif"/>
                <w:sz w:val="22"/>
                <w:szCs w:val="22"/>
              </w:rPr>
              <w:t>организаци</w:t>
            </w:r>
            <w:r>
              <w:rPr>
                <w:rFonts w:ascii="Liberation Serif" w:hAnsi="Liberation Serif"/>
                <w:sz w:val="22"/>
                <w:szCs w:val="22"/>
              </w:rPr>
              <w:t>ям</w:t>
            </w:r>
            <w:r>
              <w:rPr>
                <w:rFonts w:ascii="Liberation Serif" w:hAnsi="Liberation Serif"/>
                <w:sz w:val="22"/>
                <w:szCs w:val="22"/>
              </w:rPr>
              <w:t xml:space="preserve"> города. </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color w:val="auto"/>
                <w:kern w:val="0"/>
                <w:sz w:val="22"/>
                <w:szCs w:val="22"/>
                <w:lang w:val="ru-RU" w:eastAsia="ru-RU" w:bidi="ar-SA"/>
              </w:rPr>
              <w:t>6</w:t>
            </w:r>
            <w:r>
              <w:rPr>
                <w:rFonts w:eastAsia="Times New Roman" w:cs="Times New Roman" w:ascii="Liberation Serif" w:hAnsi="Liberation Serif"/>
                <w:b/>
                <w:color w:val="auto"/>
                <w:kern w:val="0"/>
                <w:sz w:val="22"/>
                <w:szCs w:val="22"/>
                <w:lang w:val="ru-RU" w:eastAsia="ru-RU" w:bidi="ar-SA"/>
              </w:rPr>
              <w:t>4</w:t>
            </w:r>
            <w:r>
              <w:rPr>
                <w:rFonts w:ascii="Liberation Serif" w:hAnsi="Liberation Serif"/>
                <w:b/>
                <w:sz w:val="22"/>
                <w:szCs w:val="22"/>
              </w:rPr>
              <w:t xml:space="preserve"> </w:t>
            </w:r>
            <w:r>
              <w:rPr>
                <w:rFonts w:ascii="Liberation Serif" w:hAnsi="Liberation Serif"/>
                <w:sz w:val="22"/>
                <w:szCs w:val="22"/>
              </w:rPr>
              <w:t>организаци</w:t>
            </w:r>
            <w:r>
              <w:rPr>
                <w:rFonts w:ascii="Liberation Serif" w:hAnsi="Liberation Serif"/>
                <w:sz w:val="22"/>
                <w:szCs w:val="22"/>
              </w:rPr>
              <w:t>й</w:t>
            </w:r>
            <w:r>
              <w:rPr>
                <w:rFonts w:ascii="Liberation Serif" w:hAnsi="Liberation Serif"/>
                <w:sz w:val="22"/>
                <w:szCs w:val="22"/>
              </w:rPr>
              <w:t>.</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пенсионным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 xml:space="preserve">постоянно </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 </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 xml:space="preserve">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 </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 xml:space="preserve">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 </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 </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w:t>
            </w:r>
            <w:r>
              <w:rPr>
                <w:rFonts w:ascii="Liberation Serif" w:hAnsi="Liberation Serif"/>
                <w:sz w:val="22"/>
                <w:szCs w:val="22"/>
              </w:rPr>
              <w:t>которые занимаются</w:t>
            </w:r>
            <w:r>
              <w:rPr>
                <w:rFonts w:ascii="Liberation Serif" w:hAnsi="Liberation Serif"/>
                <w:sz w:val="22"/>
                <w:szCs w:val="22"/>
              </w:rPr>
              <w:t xml:space="preserve"> лесозаготовительной деятельностью</w:t>
            </w:r>
            <w:r>
              <w:rPr>
                <w:rFonts w:ascii="Liberation Serif" w:hAnsi="Liberation Serif"/>
                <w:sz w:val="22"/>
                <w:szCs w:val="22"/>
              </w:rPr>
              <w:t xml:space="preserve">. </w:t>
            </w:r>
            <w:r>
              <w:rPr>
                <w:rFonts w:ascii="Liberation Serif" w:hAnsi="Liberation Serif"/>
                <w:sz w:val="22"/>
                <w:szCs w:val="22"/>
                <w:shd w:fill="auto" w:val="clear"/>
              </w:rPr>
              <w:t xml:space="preserve">Проведена сверка </w:t>
            </w:r>
            <w:r>
              <w:rPr>
                <w:rFonts w:ascii="Liberation Serif" w:hAnsi="Liberation Serif"/>
                <w:sz w:val="22"/>
                <w:szCs w:val="22"/>
                <w:shd w:fill="auto" w:val="clear"/>
              </w:rPr>
              <w:t xml:space="preserve">всех </w:t>
            </w:r>
            <w:r>
              <w:rPr>
                <w:rFonts w:ascii="Liberation Serif" w:hAnsi="Liberation Serif"/>
                <w:sz w:val="22"/>
                <w:szCs w:val="22"/>
                <w:shd w:fill="auto" w:val="clear"/>
              </w:rPr>
              <w:t>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w:t>
            </w:r>
            <w:r>
              <w:rPr>
                <w:rFonts w:ascii="Liberation Serif" w:hAnsi="Liberation Serif"/>
                <w:color w:val="000000"/>
                <w:sz w:val="22"/>
                <w:szCs w:val="22"/>
              </w:rPr>
              <w:t>Камышловские известия»</w:t>
            </w:r>
            <w:r>
              <w:rPr>
                <w:rFonts w:ascii="Liberation Serif" w:hAnsi="Liberation Serif"/>
                <w:color w:val="000000"/>
                <w:sz w:val="22"/>
                <w:szCs w:val="22"/>
              </w:rPr>
              <w:t xml:space="preserve">, на сайте Камышловского городского округа </w:t>
            </w:r>
            <w:r>
              <w:rPr>
                <w:rFonts w:ascii="Liberation Serif" w:hAnsi="Liberation Serif"/>
                <w:color w:val="000000"/>
                <w:sz w:val="22"/>
                <w:szCs w:val="22"/>
              </w:rPr>
              <w:t>и</w:t>
            </w:r>
            <w:r>
              <w:rPr>
                <w:rFonts w:ascii="Liberation Serif" w:hAnsi="Liberation Serif"/>
                <w:color w:val="000000"/>
                <w:sz w:val="22"/>
                <w:szCs w:val="22"/>
              </w:rPr>
              <w:t xml:space="preserve"> в социальных сетях, рабочих совещаний с руководителями организаций и распространения печатной продукции </w:t>
            </w:r>
            <w:r>
              <w:rPr>
                <w:rFonts w:ascii="Liberation Serif" w:hAnsi="Liberation Serif"/>
                <w:color w:val="000000"/>
                <w:sz w:val="22"/>
                <w:szCs w:val="22"/>
              </w:rPr>
              <w:t>«Обманный путь».</w:t>
            </w:r>
            <w:r>
              <w:rPr>
                <w:rFonts w:ascii="Liberation Serif" w:hAnsi="Liberation Serif"/>
                <w:color w:val="000000"/>
                <w:sz w:val="22"/>
                <w:szCs w:val="22"/>
              </w:rPr>
              <w:t>.</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xml:space="preserve">; МИФНС №19 России по Свердловской области; </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 xml:space="preserve">Снижение неформальной занятости </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 xml:space="preserve">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 </w:t>
            </w:r>
            <w:r>
              <w:rPr>
                <w:rFonts w:ascii="Liberation Serif" w:hAnsi="Liberation Serif"/>
                <w:color w:val="000000"/>
                <w:sz w:val="22"/>
                <w:szCs w:val="22"/>
              </w:rPr>
              <w:t>в выпуске от 08.10.2022 в разделе «Ваше будущее» размещена статья «Какого цвета выбираешь зарплату?»</w:t>
            </w:r>
            <w:r>
              <w:rPr>
                <w:rFonts w:ascii="Liberation Serif" w:hAnsi="Liberation Serif"/>
                <w:sz w:val="22"/>
                <w:szCs w:val="22"/>
              </w:rPr>
              <w:t xml:space="preserve">, на официальном сайте Камышловского городского округа и официальных группах в социальных сетях: </w:t>
            </w:r>
            <w:r>
              <w:rPr>
                <w:rFonts w:ascii="Liberation Serif" w:hAnsi="Liberation Serif"/>
                <w:color w:val="000000"/>
                <w:sz w:val="22"/>
                <w:szCs w:val="22"/>
              </w:rPr>
              <w:t>статья «Официальные трудовые отношения - залог стабильного будущего!».</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муниципальные учреждения Камышловского городского округа, информационные стенды на предприятиях</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Управление Пенсионного фонда Российской Федерации в г.Камышлове Свердловской области (межрайонное),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Ежедневно в клиентской службе ПФ вниманию посетителей предлагаются видеоролики о «серой» заработной плате». 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4"/>
                <w:szCs w:val="24"/>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4"/>
                <w:szCs w:val="24"/>
                <w:lang w:val="ru-RU" w:eastAsia="ru-RU" w:bidi="ar-SA"/>
              </w:rPr>
              <w:t>работодателей</w:t>
            </w:r>
            <w:r>
              <w:rPr>
                <w:rFonts w:ascii="Liberation Serif" w:hAnsi="Liberation Serif"/>
                <w:sz w:val="24"/>
                <w:szCs w:val="24"/>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rFonts w:ascii="Liberation Serif" w:hAnsi="Liberation Serif"/>
                <w:sz w:val="24"/>
                <w:szCs w:val="24"/>
              </w:rPr>
            </w:pPr>
            <w:r>
              <w:rPr>
                <w:rFonts w:ascii="Liberation Serif" w:hAnsi="Liberation Serif"/>
                <w:sz w:val="24"/>
                <w:szCs w:val="24"/>
              </w:rPr>
              <w:t>Проводится беседа с работодателями, у которых выявлены нарушения, о необходимости увеличения заработной платы не ниже МРОТ.</w:t>
            </w:r>
          </w:p>
          <w:p>
            <w:pPr>
              <w:pStyle w:val="Normal"/>
              <w:widowControl w:val="false"/>
              <w:jc w:val="both"/>
              <w:rPr>
                <w:rFonts w:ascii="Liberation Serif" w:hAnsi="Liberation Serif"/>
                <w:sz w:val="22"/>
                <w:szCs w:val="22"/>
              </w:rPr>
            </w:pPr>
            <w:r>
              <w:rPr>
                <w:rFonts w:ascii="Liberation Serif" w:hAnsi="Liberation Serif"/>
                <w:sz w:val="22"/>
                <w:szCs w:val="22"/>
              </w:rPr>
              <w:t>Работа была проведена во 2 квартале 2022 года.</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УПФР, Центре занятости, ИФНС, отделении Соцстраха.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Проведено совещание членов рабочей группы, определены мероприятия, по содействию занятости граждан предпенсионного возраста. </w:t>
            </w:r>
          </w:p>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widowControl w:val="false"/>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основании поступающих данных от организаций города, ГКУ «Камышловский ЦЗ» направляет отчетность в установленные сроки. </w:t>
            </w:r>
          </w:p>
          <w:p>
            <w:pPr>
              <w:pStyle w:val="Normal"/>
              <w:widowControl w:val="false"/>
              <w:jc w:val="both"/>
              <w:rPr>
                <w:rFonts w:ascii="Liberation Serif" w:hAnsi="Liberation Serif"/>
                <w:sz w:val="22"/>
                <w:szCs w:val="22"/>
              </w:rPr>
            </w:pPr>
            <w:r>
              <w:rPr>
                <w:rFonts w:ascii="Liberation Serif" w:hAnsi="Liberation Serif"/>
                <w:sz w:val="22"/>
                <w:szCs w:val="22"/>
              </w:rPr>
              <w:t xml:space="preserve">По состоянию на </w:t>
            </w:r>
            <w:r>
              <w:rPr>
                <w:rFonts w:ascii="Liberation Serif" w:hAnsi="Liberation Serif"/>
                <w:sz w:val="22"/>
                <w:szCs w:val="22"/>
              </w:rPr>
              <w:t>23</w:t>
            </w:r>
            <w:r>
              <w:rPr>
                <w:rFonts w:ascii="Liberation Serif" w:hAnsi="Liberation Serif"/>
                <w:sz w:val="22"/>
                <w:szCs w:val="22"/>
              </w:rPr>
              <w:t>.</w:t>
            </w:r>
            <w:r>
              <w:rPr>
                <w:rFonts w:ascii="Liberation Serif" w:hAnsi="Liberation Serif"/>
                <w:sz w:val="22"/>
                <w:szCs w:val="22"/>
              </w:rPr>
              <w:t>12</w:t>
            </w:r>
            <w:r>
              <w:rPr>
                <w:rFonts w:ascii="Liberation Serif" w:hAnsi="Liberation Serif"/>
                <w:sz w:val="22"/>
                <w:szCs w:val="22"/>
              </w:rPr>
              <w:t>.202</w:t>
            </w:r>
            <w:r>
              <w:rPr>
                <w:rFonts w:ascii="Liberation Serif" w:hAnsi="Liberation Serif"/>
                <w:sz w:val="22"/>
                <w:szCs w:val="22"/>
              </w:rPr>
              <w:t>2</w:t>
            </w:r>
            <w:r>
              <w:rPr>
                <w:rFonts w:ascii="Liberation Serif" w:hAnsi="Liberation Serif"/>
                <w:sz w:val="22"/>
                <w:szCs w:val="22"/>
              </w:rPr>
              <w:t xml:space="preserve"> года численность безработных граждан предпенсионного возраста, обратившихся в органы службы занятости в целях поиска подходящей работы, составляет</w:t>
            </w:r>
            <w:r>
              <w:rPr>
                <w:rFonts w:ascii="Liberation Serif" w:hAnsi="Liberation Serif"/>
                <w:sz w:val="22"/>
                <w:szCs w:val="22"/>
              </w:rPr>
              <w:t>108</w:t>
            </w:r>
            <w:r>
              <w:rPr>
                <w:rFonts w:ascii="Liberation Serif" w:hAnsi="Liberation Serif"/>
                <w:sz w:val="22"/>
                <w:szCs w:val="22"/>
              </w:rPr>
              <w:t>, из них трудоустроено 1</w:t>
            </w:r>
            <w:r>
              <w:rPr>
                <w:rFonts w:ascii="Liberation Serif" w:hAnsi="Liberation Serif"/>
                <w:sz w:val="22"/>
                <w:szCs w:val="22"/>
              </w:rPr>
              <w:t>9</w:t>
            </w:r>
            <w:r>
              <w:rPr>
                <w:rFonts w:ascii="Liberation Serif" w:hAnsi="Liberation Serif"/>
                <w:sz w:val="22"/>
                <w:szCs w:val="22"/>
              </w:rPr>
              <w:t xml:space="preserve"> граждан.</w:t>
            </w:r>
          </w:p>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p>
            <w:pPr>
              <w:pStyle w:val="Normal"/>
              <w:widowControl w:val="false"/>
              <w:jc w:val="both"/>
              <w:rPr>
                <w:rFonts w:ascii="Liberation Serif" w:hAnsi="Liberation Serif"/>
                <w:sz w:val="22"/>
                <w:szCs w:val="22"/>
              </w:rPr>
            </w:pPr>
            <w:r>
              <w:rPr>
                <w:rFonts w:ascii="Liberation Serif" w:hAnsi="Liberation Serif"/>
                <w:sz w:val="22"/>
                <w:szCs w:val="22"/>
              </w:rPr>
              <w:t xml:space="preserve">По состоянию на </w:t>
            </w:r>
            <w:r>
              <w:rPr>
                <w:rFonts w:ascii="Liberation Serif" w:hAnsi="Liberation Serif"/>
                <w:sz w:val="22"/>
                <w:szCs w:val="22"/>
              </w:rPr>
              <w:t>23</w:t>
            </w:r>
            <w:r>
              <w:rPr>
                <w:rFonts w:ascii="Liberation Serif" w:hAnsi="Liberation Serif"/>
                <w:sz w:val="22"/>
                <w:szCs w:val="22"/>
              </w:rPr>
              <w:t>.1</w:t>
            </w:r>
            <w:r>
              <w:rPr>
                <w:rFonts w:ascii="Liberation Serif" w:hAnsi="Liberation Serif"/>
                <w:sz w:val="22"/>
                <w:szCs w:val="22"/>
              </w:rPr>
              <w:t>2</w:t>
            </w:r>
            <w:r>
              <w:rPr>
                <w:rFonts w:ascii="Liberation Serif" w:hAnsi="Liberation Serif"/>
                <w:sz w:val="22"/>
                <w:szCs w:val="22"/>
              </w:rPr>
              <w:t xml:space="preserve">.2022 численность граждан предпенсионного возраста, получивших государственную услугу по проф. ориентации граждан составляет </w:t>
            </w:r>
            <w:r>
              <w:rPr>
                <w:rFonts w:ascii="Liberation Serif" w:hAnsi="Liberation Serif"/>
                <w:sz w:val="22"/>
                <w:szCs w:val="22"/>
              </w:rPr>
              <w:t>6</w:t>
            </w:r>
            <w:r>
              <w:rPr>
                <w:rFonts w:ascii="Liberation Serif" w:hAnsi="Liberation Serif"/>
                <w:sz w:val="22"/>
                <w:szCs w:val="22"/>
              </w:rPr>
              <w:t>7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 xml:space="preserve">Создание условий для ведения бизнеса, при которых исключена или затруднена возможность </w:t>
            </w:r>
          </w:p>
          <w:p>
            <w:pPr>
              <w:pStyle w:val="Normal"/>
              <w:widowControl w:val="false"/>
              <w:jc w:val="center"/>
              <w:rPr>
                <w:rFonts w:ascii="Liberation Serif" w:hAnsi="Liberation Serif"/>
                <w:b/>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Инициирование процедуры банкротства для предприятий - «должников» по выплатам во внебюджетные фонды </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УПФР, ИФНС и Отдела Соцстрах Камышловского ГО.</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Liberation Serif" w:hAnsi="Liberation Serif"/>
              </w:rPr>
            </w:pPr>
            <w:r>
              <w:rPr>
                <w:rFonts w:ascii="Liberation Serif" w:hAnsi="Liberation Serif"/>
                <w:sz w:val="22"/>
                <w:szCs w:val="22"/>
              </w:rPr>
              <w:t xml:space="preserve">Правительством Свердловской области установлен контрольный показатель по снижению неформальной занятости в Камышловском ГО в количестве 110 человек. </w:t>
            </w:r>
          </w:p>
          <w:p>
            <w:pPr>
              <w:pStyle w:val="Normal"/>
              <w:widowControl w:val="false"/>
              <w:jc w:val="both"/>
              <w:rPr>
                <w:rFonts w:ascii="Liberation Serif" w:hAnsi="Liberation Serif"/>
                <w:sz w:val="22"/>
                <w:szCs w:val="22"/>
              </w:rPr>
            </w:pPr>
            <w:r>
              <w:rPr>
                <w:rFonts w:ascii="Liberation Serif" w:hAnsi="Liberation Serif"/>
                <w:sz w:val="22"/>
                <w:szCs w:val="22"/>
              </w:rPr>
              <w:t>Факт по состоянию на отчетную дату составляет 1</w:t>
            </w:r>
            <w:r>
              <w:rPr>
                <w:rFonts w:ascii="Liberation Serif" w:hAnsi="Liberation Serif"/>
                <w:sz w:val="22"/>
                <w:szCs w:val="22"/>
              </w:rPr>
              <w:t>11</w:t>
            </w:r>
            <w:r>
              <w:rPr>
                <w:rFonts w:ascii="Liberation Serif" w:hAnsi="Liberation Serif"/>
                <w:sz w:val="22"/>
                <w:szCs w:val="22"/>
              </w:rPr>
              <w:t xml:space="preserve"> человека (</w:t>
            </w:r>
            <w:r>
              <w:rPr>
                <w:rFonts w:ascii="Liberation Serif" w:hAnsi="Liberation Serif"/>
                <w:sz w:val="22"/>
                <w:szCs w:val="22"/>
              </w:rPr>
              <w:t>101</w:t>
            </w:r>
            <w:r>
              <w:rPr>
                <w:rFonts w:ascii="Liberation Serif" w:hAnsi="Liberation Serif"/>
                <w:sz w:val="22"/>
                <w:szCs w:val="22"/>
              </w:rPr>
              <w:t xml:space="preserve">% выполнения от </w:t>
            </w:r>
            <w:r>
              <w:rPr>
                <w:rFonts w:eastAsia="Times New Roman" w:cs="Times New Roman" w:ascii="Liberation Serif" w:hAnsi="Liberation Serif"/>
                <w:color w:val="auto"/>
                <w:kern w:val="0"/>
                <w:sz w:val="22"/>
                <w:szCs w:val="22"/>
                <w:lang w:val="ru-RU" w:eastAsia="ru-RU" w:bidi="ar-SA"/>
              </w:rPr>
              <w:t>контрольного</w:t>
            </w:r>
            <w:r>
              <w:rPr>
                <w:rFonts w:ascii="Liberation Serif" w:hAnsi="Liberation Serif"/>
                <w:sz w:val="22"/>
                <w:szCs w:val="22"/>
              </w:rPr>
              <w:t xml:space="preserve"> показателя).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 xml:space="preserve">информация о работе по вопросам неформальной занятости в сфере торговли, общественного питания и бытовых услуг; </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xml:space="preserve">- выплаты заработной платы ниже минимального размера оплаты труда; </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41955490"/>
    </w:sdtPr>
    <w:sdtContent>
      <w:p>
        <w:pPr>
          <w:pStyle w:val="Style26"/>
          <w:jc w:val="center"/>
          <w:rPr/>
        </w:pPr>
        <w:r>
          <w:rPr/>
          <w:fldChar w:fldCharType="begin"/>
        </w:r>
        <w:r>
          <w:rPr/>
          <w:instrText xml:space="preserve"> PAGE </w:instrText>
        </w:r>
        <w:r>
          <w:rPr/>
          <w:fldChar w:fldCharType="separate"/>
        </w:r>
        <w:r>
          <w:rPr/>
          <w:t>8</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Колонтитул"/>
    <w:basedOn w:val="Normal"/>
    <w:qFormat/>
    <w:pPr/>
    <w:rPr/>
  </w:style>
  <w:style w:type="paragraph" w:styleId="Style26">
    <w:name w:val="Header"/>
    <w:basedOn w:val="Normal"/>
    <w:uiPriority w:val="99"/>
    <w:unhideWhenUsed/>
    <w:rsid w:val="00915513"/>
    <w:pPr>
      <w:tabs>
        <w:tab w:val="clear" w:pos="709"/>
        <w:tab w:val="center" w:pos="4677" w:leader="none"/>
        <w:tab w:val="right" w:pos="9355" w:leader="none"/>
      </w:tabs>
    </w:pPr>
    <w:rPr/>
  </w:style>
  <w:style w:type="paragraph" w:styleId="Style27">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8">
    <w:name w:val="Endnote Text"/>
    <w:basedOn w:val="Normal"/>
    <w:uiPriority w:val="99"/>
    <w:semiHidden/>
    <w:unhideWhenUsed/>
    <w:rsid w:val="00981a6c"/>
    <w:pPr/>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Application>LibreOffice/7.3.6.2$Linux_X86_64 LibreOffice_project/30$Build-2</Application>
  <AppVersion>15.0000</AppVersion>
  <DocSecurity>0</DocSecurity>
  <Pages>8</Pages>
  <Words>1897</Words>
  <Characters>14555</Characters>
  <CharactersWithSpaces>16304</CharactersWithSpaces>
  <Paragraphs>168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2022-12-30T10:38:52Z</cp:lastPrinted>
  <dcterms:modified xsi:type="dcterms:W3CDTF">2022-12-30T10:38:55Z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