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15.06.2021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 N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5</w:t>
      </w:r>
    </w:p>
    <w:p>
      <w:pPr>
        <w:pStyle w:val="Style14"/>
        <w:jc w:val="center"/>
        <w:rPr>
          <w:rStyle w:val="Style5"/>
          <w:rFonts w:ascii="Liberation Serif" w:hAnsi="Liberation Serif"/>
          <w:b/>
          <w:b/>
          <w:bCs/>
          <w:i/>
          <w:i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№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21.05.2021,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1.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2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. </w:t>
      </w:r>
      <w:r>
        <w:rPr>
          <w:rStyle w:val="Style5"/>
          <w:rFonts w:ascii="Liberation Serif" w:hAnsi="Liberation Serif"/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4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25.06.2021;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29.06.2021;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02.07.2021 по 27.08.2021;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02.07.2021 по 27.08.2021;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8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01.09.2021.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23.06.2021.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12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427</Words>
  <CharactersWithSpaces>3708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2021-06-09T09:37:00Z</dcterms:created>
  <dc:creator>Архитектура</dc:creator>
  <dc:description/>
  <dc:language>ru-RU</dc:language>
  <cp:lastModifiedBy/>
  <cp:lastPrinted>2021-06-15T14:54:39Z</cp:lastPrinted>
  <dcterms:modified xsi:type="dcterms:W3CDTF">2021-06-15T14:54:56Z</dcterms:modified>
  <cp:revision>4</cp:revision>
  <dc:subject/>
  <dc:title>Градостроительный план земельного участка</dc:title>
</cp:coreProperties>
</file>