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widowControl w:val="false"/>
        <w:jc w:val="left"/>
        <w:rPr/>
      </w:pPr>
      <w:bookmarkStart w:id="0" w:name="__DdeLink__35369_2389077332"/>
      <w:bookmarkStart w:id="1" w:name="_GoBack"/>
      <w:bookmarkEnd w:id="1"/>
      <w:r>
        <w:rPr>
          <w:rStyle w:val="Style11"/>
          <w:b/>
          <w:bCs/>
          <w:i w:val="false"/>
          <w:iCs w:val="false"/>
          <w:sz w:val="28"/>
          <w:szCs w:val="28"/>
        </w:rPr>
        <w:t xml:space="preserve">от 25.07.2019  N </w:t>
      </w:r>
      <w:bookmarkEnd w:id="0"/>
      <w:r>
        <w:rPr>
          <w:rStyle w:val="Style11"/>
          <w:b/>
          <w:bCs/>
          <w:i w:val="false"/>
          <w:iCs w:val="false"/>
          <w:sz w:val="28"/>
          <w:szCs w:val="28"/>
        </w:rPr>
        <w:t>672</w:t>
      </w:r>
    </w:p>
    <w:p>
      <w:pPr>
        <w:pStyle w:val="Style21"/>
        <w:widowControl w:val="false"/>
        <w:jc w:val="center"/>
        <w:rPr>
          <w:rStyle w:val="Style11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21"/>
        <w:widowControl w:val="false"/>
        <w:jc w:val="center"/>
        <w:rPr>
          <w:rStyle w:val="Style11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21"/>
        <w:widowControl w:val="false"/>
        <w:jc w:val="center"/>
        <w:rPr/>
      </w:pPr>
      <w:r>
        <w:rPr>
          <w:rStyle w:val="Style11"/>
          <w:b/>
          <w:bCs/>
          <w:i w:val="false"/>
          <w:iCs w:val="false"/>
          <w:szCs w:val="28"/>
        </w:rPr>
        <w:t xml:space="preserve">О внесении изменений в </w:t>
      </w:r>
      <w:r>
        <w:rPr>
          <w:rStyle w:val="Style11"/>
          <w:b/>
          <w:i w:val="false"/>
          <w:iCs w:val="false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 </w:t>
      </w:r>
    </w:p>
    <w:p>
      <w:pPr>
        <w:pStyle w:val="Style21"/>
        <w:widowControl w:val="false"/>
        <w:jc w:val="center"/>
        <w:rPr>
          <w:b/>
          <w:b/>
          <w:i/>
          <w:i/>
        </w:rPr>
      </w:pPr>
      <w:r>
        <w:rPr>
          <w:b/>
          <w:i w:val="false"/>
          <w:iCs w:val="false"/>
        </w:rPr>
        <w:t xml:space="preserve"> </w:t>
      </w:r>
      <w:r>
        <w:rPr>
          <w:b/>
          <w:i w:val="false"/>
          <w:iCs w:val="false"/>
        </w:rPr>
        <w:t xml:space="preserve">утверждённую постановлением главы Камышловского городского округа от 12 ноября 2013 года  № 2008 </w:t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/>
      </w:pPr>
      <w:r>
        <w:rPr>
          <w:rStyle w:val="Style11"/>
          <w:rFonts w:cs="Times New Roman"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руководствуясь </w:t>
      </w:r>
      <w:r>
        <w:rPr>
          <w:rStyle w:val="Style11"/>
          <w:rFonts w:cs="Times New Roman" w:ascii="Times New Roman" w:hAnsi="Times New Roman"/>
          <w:bCs/>
          <w:sz w:val="28"/>
          <w:szCs w:val="28"/>
        </w:rPr>
        <w:t xml:space="preserve">Федеральным законом от 06 октября 2013 года №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Style w:val="Style11"/>
          <w:rFonts w:cs="Times New Roman" w:ascii="Times New Roman" w:hAnsi="Times New Roman"/>
          <w:sz w:val="28"/>
          <w:szCs w:val="28"/>
        </w:rPr>
        <w:t xml:space="preserve">постановлением  главы  Камышловского  городского  округа от  04 октября 2013 г. № 1786 «Об утверждении порядка формирования и реализации муниципальных программ Камышловского городского округа», с решением Думы Камышловского городского округа </w:t>
      </w:r>
      <w:r>
        <w:rPr>
          <w:rStyle w:val="Style11"/>
          <w:rFonts w:cs="Times New Roman" w:ascii="Times New Roman" w:hAnsi="Times New Roman"/>
          <w:bCs/>
          <w:sz w:val="28"/>
          <w:szCs w:val="28"/>
        </w:rPr>
        <w:t>от 11.07.2019 №635 «О внесении изменения в решение Думы КГО от 06.12.2018 №323 «О бюджете КГО на 2019 год и плановый период 2020 и 2021 годов» и Приказа Финансового управления от 01.07.2019 года №38-О, администрация  Камышловского городского округа</w:t>
      </w:r>
    </w:p>
    <w:p>
      <w:pPr>
        <w:pStyle w:val="Style21"/>
        <w:shd w:val="clear" w:fill="FFFFFF"/>
        <w:tabs>
          <w:tab w:val="clear" w:pos="708"/>
          <w:tab w:val="left" w:pos="142" w:leader="none"/>
          <w:tab w:val="left" w:pos="5400" w:leader="none"/>
        </w:tabs>
        <w:ind w:right="-34" w:firstLine="709"/>
        <w:jc w:val="both"/>
        <w:rPr>
          <w:b/>
          <w:b/>
          <w:szCs w:val="28"/>
        </w:rPr>
      </w:pPr>
      <w:r>
        <w:rPr>
          <w:b/>
          <w:szCs w:val="28"/>
        </w:rPr>
        <w:t>ПОСТАНОВЛЯЕТ :</w:t>
      </w:r>
    </w:p>
    <w:p>
      <w:pPr>
        <w:pStyle w:val="Style21"/>
        <w:widowControl w:val="false"/>
        <w:ind w:firstLine="708"/>
        <w:jc w:val="both"/>
        <w:rPr/>
      </w:pPr>
      <w:r>
        <w:rPr>
          <w:rStyle w:val="Style11"/>
          <w:szCs w:val="28"/>
        </w:rPr>
        <w:t xml:space="preserve">1. Внести </w:t>
      </w:r>
      <w:r>
        <w:rPr>
          <w:rStyle w:val="Style11"/>
          <w:bCs/>
          <w:szCs w:val="28"/>
        </w:rPr>
        <w:t xml:space="preserve">в </w:t>
      </w:r>
      <w:r>
        <w:rPr/>
        <w:t>Муниципальную программу Камышловского  городского округа  «Развитие  образования,  культуры,  спорта  и  молодежной  политики в Камышловском городском округе до 2020 года», утвержденную  постановлением   главы  Камышловского  городского округа  от  12 ноября 2013 года №2008 (с изменениями внесенными постановлениями главы Камышловского городского округа от 08.07.2019 года №635, от 31.05.2019 года №508, от 30.04.2019 года №385, от 10.04.2019 года № 316, от 14.03.2019 года №248, от 28.12.2018 года №1195, от 21.12.2018 года № 1162</w:t>
      </w:r>
      <w:r>
        <w:rPr>
          <w:rStyle w:val="Style11"/>
          <w:color w:val="FF0000"/>
        </w:rPr>
        <w:t xml:space="preserve"> </w:t>
      </w:r>
      <w:r>
        <w:rPr/>
        <w:t xml:space="preserve"> , от 21.11.2018 года №1019, от 18.10.2018 года №883, от 21.08.2018 года №741, от 09.08.2018 года №708, от 10.07.2018 года №602, от 04.07.2018 года №589, от 19.06.2018 №542, от 04.06.2018 №486, от 10.04.2018 №302, от 13.03.2018 №228, от 15.01.2018 № 24, от 11.12.2017 № 1143, от 14.11.2017 №1042, от 05.10.2017 № 908, от 04.09.2017 года №823, от 03.07.2017 года №634,  от 08.06.2017 года №548, от 05.05.2017 № 429, от 24.01.2017 № 62, от 11.11.2016 года №1159, от 27.09.2016 года № 1032, от </w:t>
      </w:r>
      <w:r>
        <w:rPr>
          <w:rStyle w:val="Style11"/>
          <w:szCs w:val="28"/>
        </w:rPr>
        <w:t>12.09.2016 года  № 984</w:t>
      </w:r>
      <w:r>
        <w:rPr/>
        <w:t>,  от 26.08.2016 года № 949, от 01.07.2016 года № 742, от 15 февраля 2016 года № 161,  от 01 октября 2015 года №1393, от 14 августа 2015 года № 1171, от 06 марта 2015 года № 483, от 22 января 2015 года  № 93) следующие изменения: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  <w:t>1.1. В паспорте Программы: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  <w:t>1.1.1. Строку «Объемы финансирования Программы по годам реализации, рублей» изложить в следующей редакции: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/>
                <w:b/>
              </w:rPr>
            </w:pPr>
            <w:r>
              <w:rPr>
                <w:b/>
              </w:rPr>
              <w:t xml:space="preserve">ВСЕГО:  </w:t>
            </w:r>
          </w:p>
          <w:p>
            <w:pPr>
              <w:pStyle w:val="Style21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3 880 965 731,30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rStyle w:val="Style11"/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rStyle w:val="Style11"/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/>
              <w:t>2017 год –545</w:t>
            </w:r>
            <w:r>
              <w:rPr>
                <w:rStyle w:val="Style11"/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/>
              <w:t>2018 год –634 514 047</w:t>
            </w:r>
            <w:r>
              <w:rPr>
                <w:rStyle w:val="Style11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–614 254 963,80</w:t>
            </w:r>
          </w:p>
          <w:p>
            <w:pPr>
              <w:pStyle w:val="ConsPlusCell"/>
              <w:rPr/>
            </w:pPr>
            <w:r>
              <w:rPr/>
              <w:t>2020 год –613 565 845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из них:</w:t>
            </w:r>
          </w:p>
          <w:p>
            <w:pPr>
              <w:pStyle w:val="ConsPlusCell"/>
              <w:rPr/>
            </w:pPr>
            <w:r>
              <w:rPr/>
              <w:t xml:space="preserve">федеральный бюджет: </w:t>
            </w:r>
            <w:r>
              <w:rPr>
                <w:rStyle w:val="Style11"/>
                <w:b/>
                <w:bCs/>
              </w:rPr>
              <w:t>1 728 000,00</w:t>
            </w:r>
          </w:p>
          <w:p>
            <w:pPr>
              <w:pStyle w:val="ConsPlusCell"/>
              <w:rPr/>
            </w:pP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–450 200,00</w:t>
            </w:r>
          </w:p>
          <w:p>
            <w:pPr>
              <w:pStyle w:val="ConsPlusCell"/>
              <w:rPr/>
            </w:pPr>
            <w:r>
              <w:rPr/>
              <w:t>2015 год –1 322 800,00</w:t>
            </w:r>
          </w:p>
          <w:p>
            <w:pPr>
              <w:pStyle w:val="ConsPlusCell"/>
              <w:rPr/>
            </w:pPr>
            <w:r>
              <w:rPr/>
              <w:t>2016 год –0</w:t>
            </w:r>
          </w:p>
          <w:p>
            <w:pPr>
              <w:pStyle w:val="ConsPlusCell"/>
              <w:rPr/>
            </w:pPr>
            <w:r>
              <w:rPr/>
              <w:t>2017 год –0</w:t>
            </w:r>
          </w:p>
          <w:p>
            <w:pPr>
              <w:pStyle w:val="ConsPlusCell"/>
              <w:rPr/>
            </w:pPr>
            <w:r>
              <w:rPr/>
              <w:t>2018 год –0</w:t>
            </w:r>
          </w:p>
          <w:p>
            <w:pPr>
              <w:pStyle w:val="ConsPlusCell"/>
              <w:rPr/>
            </w:pPr>
            <w:r>
              <w:rPr/>
              <w:t>2019 год –0</w:t>
            </w:r>
          </w:p>
          <w:p>
            <w:pPr>
              <w:pStyle w:val="ConsPlusCell"/>
              <w:rPr/>
            </w:pPr>
            <w:r>
              <w:rPr/>
              <w:t>2020 год –0</w:t>
            </w:r>
          </w:p>
          <w:p>
            <w:pPr>
              <w:pStyle w:val="ConsPlusCell"/>
              <w:rPr/>
            </w:pPr>
            <w:r>
              <w:rPr/>
              <w:t xml:space="preserve">областной бюджет: </w:t>
            </w:r>
            <w:r>
              <w:rPr>
                <w:rStyle w:val="Style11"/>
                <w:b/>
              </w:rPr>
              <w:t>1 943 083 065</w:t>
            </w:r>
            <w:r>
              <w:rPr>
                <w:rStyle w:val="Style11"/>
                <w:b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 xml:space="preserve"> </w:t>
            </w: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rStyle w:val="Style11"/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/>
              <w:t xml:space="preserve">2016 год – </w:t>
            </w:r>
            <w:r>
              <w:rPr>
                <w:rStyle w:val="Style11"/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/>
              <w:t>2017 год –287 032 700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–318 355 717</w:t>
            </w:r>
            <w:r>
              <w:rPr>
                <w:rStyle w:val="Style11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–316 712 100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2020 год – </w:t>
            </w:r>
            <w:r>
              <w:rPr>
                <w:rStyle w:val="Style11"/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/>
              <w:t xml:space="preserve">местный бюджет: </w:t>
            </w:r>
            <w:r>
              <w:rPr>
                <w:rStyle w:val="Style11"/>
                <w:b/>
              </w:rPr>
              <w:t>1 936 154 665</w:t>
            </w:r>
            <w:r>
              <w:rPr>
                <w:rStyle w:val="Style11"/>
                <w:b/>
                <w:bCs/>
              </w:rPr>
              <w:t>,80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/>
              <w:t xml:space="preserve">2015 год – </w:t>
            </w:r>
            <w:r>
              <w:rPr>
                <w:rStyle w:val="Style11"/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rStyle w:val="Style11"/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/>
              <w:t>2017 год –258 306 007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–316 158 330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2019 год –297 542 863,80</w:t>
            </w:r>
          </w:p>
          <w:p>
            <w:pPr>
              <w:pStyle w:val="ConsPlusCell"/>
              <w:rPr/>
            </w:pPr>
            <w:r>
              <w:rPr/>
              <w:t>2020 год – 308 185 545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внебюджетные источники: </w:t>
            </w:r>
            <w:r>
              <w:rPr>
                <w:rStyle w:val="Style11"/>
                <w:b/>
              </w:rPr>
              <w:t>0</w:t>
            </w:r>
          </w:p>
        </w:tc>
      </w:tr>
    </w:tbl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ConsPlusCell"/>
        <w:ind w:firstLine="567"/>
        <w:jc w:val="both"/>
        <w:rPr/>
      </w:pPr>
      <w:r>
        <w:rPr/>
        <w:t>1.2. В Приложении № 2.2: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1.2.1. В разделе «Всего по муниципальной подпрограмме» в графе 3 сумму «1 471 132 194,81 рублей» заменить на сумму «1 471 506 421,81 рублей», в том числе за счет местного бюджета сумму «425 293 624,31 рублей» заменить на сумму «425 667 851,31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1.2.2. В разделе «Всего по муниципальной подпрограмме» в графе 9 сумму «226 345 102,57 рублей» заменить на сумму «226 719 329,57 рублей», в том числе за счет местного бюджета сумму «58 337 702,57 рублей» заменить на сумму «58 711 929,57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1.2.3. В разделе «Прочие нужды» в графе 3 сумму «1 471 132 194,81 рублей» заменить на сумму «1 471 506 421,81 рублей», в том числе за счет местного бюджета сумму «425 293 624,31 рублей» заменить на сумму «425 667 851,31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1.2.4. В разделе «Прочие нужды» в графе 9 сумму «226 345 102,57 рублей» заменить на сумму «226 719 329,57 рублей», в том числе за счет местного бюджета сумму «58 337 702,57 рублей» заменить на сумму «58 711 929,57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1.2.5. В мероприятии 1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«378 816 603,04 руб.» заменить на сумму «378 839 515,93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«53 865 871,00 руб.» заменить на сумму «53 888 783,89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«378 816 603,04 руб.» заменить на сумму «378 839 515,93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«53 865 871,00 руб.» заменить на сумму «53 888 783,89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 xml:space="preserve">1.2.6. В мероприятии 2 «Мероприятия по укреплению и развитию материально-технической базы муниципальных общеобразовательных учреждений.»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«2 915 000,00 руб.» заменить на сумму «2 987 804,11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«95 000,00 руб.» заменить на сумму «167 804,11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«2 915 000,00 руб.» заменить на сумму «2 987 804,11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«95 000,00 руб.» заменить на сумму «167 804,11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 xml:space="preserve">1.2.7. В мероприятии 5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«22 151 595,70 руб.» заменить на сумму «22 430 105,70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«1 655 186,00 руб.» заменить на сумму «1 933 696,00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«20 966 695,70 руб.» заменить на сумму «21 245 205,70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«1 655 186,00 руб.» заменить на сумму «1 933 696,00 руб.»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1.3. В Приложении № 2.4: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1.3.1. В разделе «Всего по муниципальной подпрограмме» в графе 3 сумму «264 816 982,00 рублей» заменить на сумму «265 114 582,00 рублей», в том числе за счет областного бюджета сумму «5 289 800,00 рублей» заменить на сумму «5 437 400,00 рублей»; в том числе за счет местного бюджета сумму «259 512 582,00 рублей» заменить на сумму «259 662 582,00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1.3.2. В разделе «Всего по муниципальной подпрограмме» в графе 9 сумму «44 809 611,00 рублей» заменить на сумму «45 107 211,00 рублей», в том числе за счет областного бюджета дополнить суммой следующего содержания «147 600,00 рублей»; в том числе за счет местного бюджета сумму «44 809 611,00 рублей» заменить на сумму «44 959 611,00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1.3.3. В разделе «Прочие нужды» в графе 3 сумму «264 816 982,00 рублей» заменить на сумму «265 114 582,00 рублей», в том числе за счет областного бюджета сумму «5 289 800,00 рублей» заменить на сумму «5 437 400,00 рублей»; в том числе за счет местного бюджета сумму «259 512 582,00 рублей» заменить на сумму «259 662 582,00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1.3.4. В разделе «Прочие нужды» в графе 9 сумму «44 809 611,00 рублей» заменить на сумму «45 107 211,00 рублей», в том числе за счет областного бюджета дополнить суммой следующего содержания «147 600,00 рублей»; в том числе за счет местного бюджета сумму «44 809 611,00 рублей» заменить на сумму «44 959 611,00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1.3.5. В мероприятии 4 «Капитальный ремонт зданий и помещений, в которых размещаются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«4 945 137,35 руб.» заменить на сумму «5 095 137,35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«400 000,00 руб.» заменить на сумму «550 000,00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«4 945 137,35 руб.» заменить на сумму «5 095 137,35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«400 000,00 руб.» заменить на сумму «550 000,00 руб.»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1.3.5. В мероприятии 5 «Информатизация музеев, в том числе приобретение компьютерного оборудования и лицензионного программного обеспечения, подключение музеев к сети интернет»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«309 862,65 руб.» заменить на сумму «457 462,65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дополнить суммой следующего содержания «147 600,00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областной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 xml:space="preserve">- в графу 3 дополнить суммой следующего содержания «147 600,00 руб.»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дополнить суммой следующего содержания «147 600,00 руб.»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1.4. В Приложении № 2.5: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1.4.1. В разделе «Всего по муниципальной подпрограмме» в графе 3 сумму «217 659 522,68 рублей» заменить на сумму «217 759 522,68 рублей», в том числе за счет местного бюджета сумму «201 355 022,68 рублей» заменить на сумму «201 455 022,68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1.4.2. В разделе «Всего по муниципальной подпрограмме» в графе 9 сумму «32 967 492,00 рублей» заменить на сумму «33 067 492,00 рублей», в том числе за счет местного бюджета сумму «30 404 092,00 рублей» заменить на сумму «30 504 092,00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1.4.3. В разделе «Прочие нужды» в графе 3 сумму «217 659 522,68 рублей» заменить на сумму «217 759 522,68 рублей», в том числе за счет местного бюджета сумму «201 355 022,68 рублей» заменить на сумму «201 455 022,68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1.4.4. В разделе «Прочие нужды» в графе 9 сумму «32 967 492,00 рублей» заменить на сумму «33 067 492,00 рублей», в том числе за счет местного бюджета сумму «30 404 092,00 рублей» заменить на сумму «30 504 092,00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1.4.5. В мероприятии 3 «Проведение городских мероприятий, участие коллективов в областных и международных мероприятиях»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«720 000,00 руб.» заменить на сумму «820 000,00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9 сумму «280 000,00 руб.» заменить на сумму «380 000,00 руб.»;          В строке местный бюджет: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«720 000,00 руб.» заменить на сумму «820 000,00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9 сумму «280 000,00 руб.» заменить на сумму «380 000,00 руб.»;</w:t>
      </w:r>
    </w:p>
    <w:p>
      <w:pPr>
        <w:pStyle w:val="ConsPlusCell"/>
        <w:jc w:val="both"/>
        <w:rPr/>
      </w:pPr>
      <w:r>
        <w:rPr/>
        <w:t>1.5. В Приложении № 2.9: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1.5.1. В разделе «Всего по муниципальной подпрограмме» в графе 3 сумму «3 210 531,40 рублей» заменить на сумму «3 526 531,40 рублей», в том числе за счет местного бюджета сумму «2 917 131,40 рублей» заменить на сумму «3 233 131,40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1.5.2. В разделе «Всего по муниципальной подпрограмме» в графе 9 сумму «813 000,00 рублей» заменить на сумму «1 129 000,00 рублей», в том числе за счет местного бюджета сумму «813 000,00 рублей» заменить на сумму «1 129 000,00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1.5.3. В разделе «Прочие нужды» в графе 3 сумму «3 210 531,40 рублей» заменить на сумму «3 526 531,40 рублей», в том числе за счет местного бюджета сумму «2 917 131,40 рублей» заменить на сумму «3 233 131,40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1.5.4. В разделе «Прочие нужды» в графе 9 сумму «813 000,00 рублей» заменить на сумму «1 129 000,00 рублей», в том числе за счет местного бюджета сумму «813 000,00 рублей» заменить на сумму «1 129 000,00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1.5.5. В мероприятии 4 «Организация мероприятий по патриотическому воспитанию, участие в мероприятиях по патриотическому воспитанию молодых граждан»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«1 517 131,40 руб.» заменить на сумму «1 833 131,40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9 сумму «613 000,00 руб.» заменить на сумму «929 000,00 руб.»;          В строке местный бюджет: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«1 517 131,40 руб.» заменить на сумму «1 833 131,40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9 сумму «613 000,00 руб.» заменить на сумму «929 000,00 руб.»;</w:t>
      </w:r>
    </w:p>
    <w:p>
      <w:pPr>
        <w:pStyle w:val="ConsPlusCell"/>
        <w:jc w:val="both"/>
        <w:rPr/>
      </w:pPr>
      <w:r>
        <w:rPr/>
        <w:t xml:space="preserve">           </w:t>
      </w:r>
      <w:r>
        <w:rPr/>
        <w:t>2. Утвердить Приложения № 2.2, 2.4, 2.5, 2,9 к Муниципальной программе «Развитие образования, культуры, спорта и молодежной политики в Камышловском городском округе до 2020 года» в новой редакции (прилагаются).</w:t>
      </w:r>
    </w:p>
    <w:p>
      <w:pPr>
        <w:pStyle w:val="Style21"/>
        <w:ind w:firstLine="708"/>
        <w:jc w:val="both"/>
        <w:rPr/>
      </w:pPr>
      <w:r>
        <w:rPr/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Style21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jc w:val="both"/>
        <w:rPr>
          <w:szCs w:val="28"/>
        </w:rPr>
      </w:pPr>
      <w:r>
        <w:rPr>
          <w:szCs w:val="28"/>
        </w:rPr>
        <w:t>Глава</w:t>
      </w:r>
    </w:p>
    <w:p>
      <w:pPr>
        <w:pStyle w:val="Style21"/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1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205740"/>
              <wp:effectExtent l="0" t="0" r="0" b="0"/>
              <wp:wrapSquare wrapText="bothSides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6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40.35pt;margin-top:0.05pt;width:1.15pt;height:16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  <w:color w:val="000000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6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21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Style16"/>
    <w:next w:val="Style21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basedOn w:val="Style16"/>
    <w:next w:val="Style21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1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31">
    <w:name w:val="Основной текст с отступом 3"/>
    <w:basedOn w:val="Style21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22">
    <w:name w:val="Основной текст с отступом 2"/>
    <w:basedOn w:val="Style21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>
      <w:sz w:val="20"/>
    </w:rPr>
  </w:style>
  <w:style w:type="paragraph" w:styleId="Style25">
    <w:name w:val="Обычный (веб)"/>
    <w:basedOn w:val="Style21"/>
    <w:qFormat/>
    <w:pPr>
      <w:suppressAutoHyphens w:val="tru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1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1"/>
    <w:qFormat/>
    <w:pPr>
      <w:shd w:val="clear" w:fill="FFFFFF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1"/>
    <w:qFormat/>
    <w:pPr>
      <w:shd w:val="clear" w:fill="FFFFFF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6</Pages>
  <Words>2020</Words>
  <Characters>10623</Characters>
  <CharactersWithSpaces>13196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2019-07-17T10:55:00Z</dcterms:created>
  <dc:creator>Администратор</dc:creator>
  <dc:description/>
  <dc:language>ru-RU</dc:language>
  <cp:lastModifiedBy/>
  <cp:lastPrinted>2019-07-29T09:08:28Z</cp:lastPrinted>
  <dcterms:modified xsi:type="dcterms:W3CDTF">2019-07-29T09:08:42Z</dcterms:modified>
  <cp:revision>4</cp:revision>
  <dc:subject/>
  <dc:title/>
</cp:coreProperties>
</file>