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lineRule="auto" w:line="240" w:before="0" w:after="0"/>
        <w:jc w:val="center"/>
        <w:rPr/>
      </w:pPr>
      <w:r>
        <w:rPr>
          <w:rStyle w:val="Style12"/>
          <w:rFonts w:cs="Times New Roman"/>
          <w:sz w:val="28"/>
          <w:szCs w:val="28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Times New Roman"/>
          <w:sz w:val="28"/>
          <w:szCs w:val="28"/>
        </w:rPr>
        <w:t xml:space="preserve"> </w:t>
      </w:r>
    </w:p>
    <w:p>
      <w:pPr>
        <w:pStyle w:val="Style28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28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i/>
          <w:i/>
          <w:sz w:val="28"/>
          <w:szCs w:val="28"/>
        </w:rPr>
      </w:pPr>
      <w:r>
        <w:rPr>
          <w:rStyle w:val="Style12"/>
          <w:rFonts w:cs="Times New Roman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2"/>
          <w:rFonts w:eastAsia="Times New Roman" w:cs="Times New Roman"/>
          <w:b/>
          <w:bCs/>
          <w:i w:val="false"/>
          <w:iCs w:val="false"/>
          <w:sz w:val="28"/>
          <w:szCs w:val="28"/>
        </w:rPr>
        <w:t>2</w:t>
      </w:r>
      <w:r>
        <w:rPr>
          <w:rStyle w:val="Style12"/>
          <w:rFonts w:eastAsia="Times New Roman" w:cs="Times New Roman"/>
          <w:b/>
          <w:bCs/>
          <w:i w:val="false"/>
          <w:iCs w:val="false"/>
          <w:sz w:val="28"/>
          <w:szCs w:val="28"/>
        </w:rPr>
        <w:t>8</w:t>
      </w:r>
      <w:r>
        <w:rPr>
          <w:rStyle w:val="Style12"/>
          <w:rFonts w:cs="Times New Roman"/>
          <w:b/>
          <w:bCs/>
          <w:i w:val="false"/>
          <w:iCs w:val="false"/>
          <w:sz w:val="28"/>
          <w:szCs w:val="28"/>
        </w:rPr>
        <w:t xml:space="preserve">.09.2022 № </w:t>
      </w:r>
      <w:r>
        <w:rPr>
          <w:rStyle w:val="Style12"/>
          <w:rFonts w:eastAsia="Times New Roman" w:cs="Times New Roman"/>
          <w:b/>
          <w:bCs/>
          <w:i w:val="false"/>
          <w:iCs w:val="false"/>
          <w:sz w:val="28"/>
          <w:szCs w:val="28"/>
        </w:rPr>
        <w:t>8</w:t>
      </w:r>
      <w:r>
        <w:rPr>
          <w:rStyle w:val="Style12"/>
          <w:rFonts w:eastAsia="Times New Roman" w:cs="Times New Roman"/>
          <w:b/>
          <w:bCs/>
          <w:i w:val="false"/>
          <w:iCs w:val="false"/>
          <w:sz w:val="28"/>
          <w:szCs w:val="28"/>
        </w:rPr>
        <w:t>80</w:t>
      </w:r>
    </w:p>
    <w:p>
      <w:pPr>
        <w:pStyle w:val="Normal"/>
        <w:ind w:left="567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</w:r>
    </w:p>
    <w:p>
      <w:pPr>
        <w:pStyle w:val="Normal"/>
        <w:ind w:left="567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Об установлении мест, специально отведенных для организации нестационарной розничной торговли, в том числе с рук, лотков, автомашин на территории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соответствии 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с </w:t>
      </w:r>
      <w:r>
        <w:rPr>
          <w:rStyle w:val="Style15"/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пунктом 15 пункта 1 статьи 16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>Федерального закона от 06 октября 2003 года N 131-ФЗ "Об общих принципах организации местного самоуправления в Российской Федерации",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Style w:val="Style15"/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статьей 4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Указа Президента Российской Федерации от 29 января 1992 года N 65 "О свободе торговли", </w:t>
      </w:r>
      <w:r>
        <w:rPr>
          <w:rStyle w:val="Style15"/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Законом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Свердловской области от 14 июня 2005 года N 52-ОЗ "Об административных правонарушениях на территории Свердловской области", 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в</w:t>
      </w:r>
      <w:hyperlink r:id="rId3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</w:rPr>
          <w:t xml:space="preserve">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№208-р «</w:t>
        </w:r>
      </w:hyperlink>
      <w:hyperlink r:id="rId4">
        <w:r>
          <w:rPr>
            <w:rFonts w:cs="Liberation Serif;Times New Roman" w:ascii="Liberation Serif;Times New Roman" w:hAnsi="Liberation Serif;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  </w:r>
      </w:hyperlink>
      <w:hyperlink r:id="rId5">
        <w:r>
          <w:rPr>
            <w:rFonts w:cs="Liberation Serif;Times New Roman" w:ascii="Liberation Serif;Times New Roman" w:hAnsi="Liberation Serif;Times New Roman"/>
            <w:color w:val="000000"/>
            <w:sz w:val="28"/>
            <w:szCs w:val="28"/>
            <w:u w:val="none"/>
          </w:rPr>
          <w:t>, руководствуясь Уставом Камышловского городского округа,  администрация Камышловского городского округа</w:t>
        </w:r>
      </w:hyperlink>
    </w:p>
    <w:p>
      <w:pPr>
        <w:pStyle w:val="Normal"/>
        <w:ind w:left="0" w:right="0" w:hanging="0"/>
        <w:jc w:val="both"/>
        <w:rPr/>
      </w:pPr>
      <w:hyperlink r:id="rId6">
        <w:r>
          <w:rPr>
            <w:rFonts w:cs="Liberation Serif;Times New Roman" w:ascii="Liberation Serif;Times New Roman" w:hAnsi="Liberation Serif;Times New Roman"/>
            <w:b/>
            <w:color w:val="000000"/>
            <w:sz w:val="28"/>
            <w:szCs w:val="28"/>
            <w:u w:val="none"/>
          </w:rPr>
          <w:t>ПОСТАНОВЛЯЕТ:</w:t>
        </w:r>
      </w:hyperlink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1. Установить, что местами, специально отведенными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для организации нестационарной розничной торговли, в том числе с рук, лотков, автомашин на территории </w:t>
      </w:r>
      <w:r>
        <w:rPr>
          <w:rFonts w:eastAsia="Arial" w:cs="Liberation Serif;Times New Roman" w:ascii="Liberation Serif;Times New Roman" w:hAnsi="Liberation Serif;Times New Roman"/>
          <w:b w:val="false"/>
          <w:bCs w:val="false"/>
          <w:i w:val="false"/>
          <w:iCs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Камышловского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z w:val="28"/>
          <w:szCs w:val="28"/>
        </w:rPr>
        <w:t xml:space="preserve"> городского округа, являются: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1) нестационарные торговые объекты, включенные в Схему размещения нестационарных торговых объектов на территории </w:t>
      </w:r>
      <w:r>
        <w:rPr>
          <w:rFonts w:eastAsia="Arial"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Камышловского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городского округа, утвержденную нормативным правовым актом Администрации </w:t>
      </w:r>
      <w:r>
        <w:rPr>
          <w:rFonts w:eastAsia="Arial" w:cs="Liberation Serif;Times New Roman" w:ascii="Liberation Serif;Times New Roman" w:hAnsi="Liberation Serif;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Камышловского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2) ярмарки, включенные в план организации и проведения ярмарок в очередном календарном году, утвержденный нормативным правовым актом </w:t>
      </w:r>
      <w:r>
        <w:rPr>
          <w:rFonts w:cs="Liberation Serif;Times New Roman" w:ascii="Liberation Serif" w:hAnsi="Liberation Serif"/>
          <w:sz w:val="28"/>
          <w:szCs w:val="28"/>
        </w:rPr>
        <w:t xml:space="preserve">Администрации </w:t>
      </w:r>
      <w:r>
        <w:rPr>
          <w:rFonts w:eastAsia="Arial" w:cs="Liberation Serif;Times New Roman" w:ascii="Liberation Serif" w:hAnsi="Liberation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hi-IN"/>
        </w:rPr>
        <w:t>Камышловского</w:t>
      </w:r>
      <w:r>
        <w:rPr>
          <w:rFonts w:cs="Liberation Serif;Times New Roman" w:ascii="Liberation Serif" w:hAnsi="Liberation Serif"/>
          <w:sz w:val="28"/>
          <w:szCs w:val="28"/>
        </w:rPr>
        <w:t xml:space="preserve">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spacing w:before="0" w:after="0"/>
        <w:ind w:left="0" w:right="0" w:firstLine="737"/>
        <w:jc w:val="both"/>
        <w:rPr/>
      </w:pPr>
      <w:r>
        <w:rPr>
          <w:rStyle w:val="Style15"/>
          <w:rFonts w:cs="Liberation Serif;Times New Roman" w:ascii="Liberation Serif" w:hAnsi="Liberation Serif"/>
          <w:color w:val="000000"/>
          <w:sz w:val="28"/>
          <w:szCs w:val="28"/>
          <w:u w:val="none"/>
          <w:lang w:val="ru-RU"/>
        </w:rPr>
        <w:t>3) места проведения общегородских мероприятий.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cs="Liberation Serif;Times New Roman" w:ascii="Liberation Serif" w:hAnsi="Liberation Serif"/>
          <w:color w:val="000000"/>
          <w:sz w:val="28"/>
          <w:szCs w:val="28"/>
          <w:u w:val="none"/>
        </w:rPr>
        <w:t xml:space="preserve">2. Настоящее постановление </w:t>
      </w:r>
      <w:r>
        <w:rPr>
          <w:rStyle w:val="Style15"/>
          <w:rFonts w:cs="Liberation Serif;Times New Roman" w:ascii="Liberation Serif" w:hAnsi="Liberation Serif"/>
          <w:color w:val="000000"/>
          <w:sz w:val="28"/>
          <w:szCs w:val="28"/>
          <w:u w:val="none"/>
          <w:lang w:val="ru-RU"/>
        </w:rPr>
        <w:t xml:space="preserve">опубликовать в газете «Камышловские известия» и </w:t>
      </w:r>
      <w:r>
        <w:rPr>
          <w:rStyle w:val="Style15"/>
          <w:rFonts w:cs="Liberation Serif;Times New Roman" w:ascii="Liberation Serif" w:hAnsi="Liberation Serif"/>
          <w:color w:val="000000"/>
          <w:sz w:val="28"/>
          <w:szCs w:val="28"/>
          <w:u w:val="none"/>
        </w:rPr>
        <w:t>разместить на официальном сайте Камышловского городского округа.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hyperlink r:id="rId7">
        <w:r>
          <w:rPr>
            <w:rFonts w:cs="Liberation Serif;Times New Roman" w:ascii="Liberation Serif" w:hAnsi="Liberation Serif"/>
            <w:b w:val="false"/>
            <w:bCs w:val="false"/>
            <w:color w:val="000000"/>
            <w:sz w:val="28"/>
            <w:szCs w:val="28"/>
            <w:u w:val="none"/>
          </w:rPr>
          <w:t>3. Контроль выполнения настоящего постановления возложить на заместителя главы администрации Камышловского городского округа Власову</w:t>
        </w:r>
      </w:hyperlink>
      <w:hyperlink r:id="rId8">
        <w:r>
          <w:rPr>
            <w:rFonts w:cs="Liberation Serif;Times New Roman" w:ascii="Liberation Serif;Times New Roman" w:hAnsi="Liberation Serif;Times New Roman"/>
            <w:b w:val="false"/>
            <w:bCs w:val="false"/>
            <w:color w:val="000000"/>
            <w:sz w:val="28"/>
            <w:szCs w:val="28"/>
            <w:u w:val="none"/>
          </w:rPr>
          <w:t xml:space="preserve"> Е.Н.</w:t>
        </w:r>
      </w:hyperlink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rStyle w:val="Style15"/>
          <w:rFonts w:ascii="Liberation Serif" w:hAnsi="Liberation Serif" w:cs="Liberation Serif;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/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5"/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  <w:u w:val="none"/>
        </w:rPr>
        <w:t>Глава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5"/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  <w:u w:val="none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7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7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Style28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6459022ABE20A108D85BEE2D3621344054DC5C34ABE27ED0662688E632352F55172098D7B0F679CE88CC7F457AEBAFDCA217A7776D4331E336FD2A2sEq5F" TargetMode="External"/><Relationship Id="rId4" Type="http://schemas.openxmlformats.org/officeDocument/2006/relationships/hyperlink" Target="consultantplus://offline/ref=96459022ABE20A108D85BEE2D3621344054DC5C34ABE27ED0662688E632352F55172098D7B0F679CE88CC7F457AEBAFDCA217A7776D4331E336FD2A2sEq5F" TargetMode="External"/><Relationship Id="rId5" Type="http://schemas.openxmlformats.org/officeDocument/2006/relationships/hyperlink" Target="consultantplus://offline/ref=96459022ABE20A108D85BEE2D3621344054DC5C34ABE27ED0662688E632352F55172098D7B0F679CE88CC7F457AEBAFDCA217A7776D4331E336FD2A2sEq5F" TargetMode="External"/><Relationship Id="rId6" Type="http://schemas.openxmlformats.org/officeDocument/2006/relationships/hyperlink" Target="consultantplus://offline/ref=96459022ABE20A108D85BEE2D3621344054DC5C34ABE27ED0662688E632352F55172098D7B0F679CE88CC7F457AEBAFDCA217A7776D4331E336FD2A2sEq5F" TargetMode="External"/><Relationship Id="rId7" Type="http://schemas.openxmlformats.org/officeDocument/2006/relationships/hyperlink" Target="consultantplus://offline/ref=96459022ABE20A108D85BEE2D3621344054DC5C34ABE27ED0662688E632352F55172098D7B0F679CE88CC7F457AEBAFDCA217A7776D4331E336FD2A2sEq5F" TargetMode="External"/><Relationship Id="rId8" Type="http://schemas.openxmlformats.org/officeDocument/2006/relationships/hyperlink" Target="consultantplus://offline/ref=96459022ABE20A108D85BEE2D3621344054DC5C34ABE27ED0662688E632352F55172098D7B0F679CE88CC7F457AEBAFDCA217A7776D4331E336FD2A2sEq5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Application>LibreOffice/7.0.6.2$Linux_X86_64 LibreOffice_project/00$Build-2</Application>
  <AppVersion>15.0000</AppVersion>
  <Pages>1</Pages>
  <Words>274</Words>
  <Characters>1910</Characters>
  <CharactersWithSpaces>2220</CharactersWithSpaces>
  <Paragraphs>15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2021-02-26T10:42:00Z</dcterms:created>
  <dc:creator>n.vyatchinova</dc:creator>
  <dc:description/>
  <dc:language>ru-RU</dc:language>
  <cp:lastModifiedBy/>
  <cp:lastPrinted>2022-09-29T15:19:48Z</cp:lastPrinted>
  <dcterms:modified xsi:type="dcterms:W3CDTF">2022-09-29T15:23:14Z</dcterms:modified>
  <cp:revision>56</cp:revision>
  <dc:subject/>
  <dc:title>Постановление Администрации Полевского городского округа от 01.11.2019 N 589-ПА"Об утверждении перечня мест, специально отведенных для организации нестационарной розничной торговли, в том числе с рук, лотков, автомашин, на территории Полевского городского округа"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