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ind w:left="0" w:right="0" w:hanging="0"/>
        <w:jc w:val="center"/>
        <w:rPr/>
      </w:pPr>
      <w:r>
        <w:rPr>
          <w:rStyle w:val="Style12"/>
          <w:rFonts w:eastAsia="Times New Roman" w:cs="Times New Roman"/>
          <w:sz w:val="28"/>
          <w:szCs w:val="28"/>
        </w:rPr>
        <w:t xml:space="preserve"> </w:t>
      </w:r>
      <w:r>
        <w:rPr/>
        <w:drawing>
          <wp:inline distT="0" distB="0" distL="0" distR="0">
            <wp:extent cx="471170" cy="73914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83" t="-1023" r="-1583" b="-1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Style w:val="Style12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5"/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5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15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ru-RU" w:eastAsia="ru-RU" w:bidi="ru-RU"/>
        </w:rPr>
        <w:t>от 2</w:t>
      </w: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ru-RU" w:eastAsia="ru-RU" w:bidi="ru-RU"/>
        </w:rPr>
        <w:t>7</w:t>
      </w: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ru-RU" w:eastAsia="ru-RU" w:bidi="ru-RU"/>
        </w:rPr>
        <w:t>.</w:t>
      </w: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en-US" w:eastAsia="ru-RU" w:bidi="ru-RU"/>
        </w:rPr>
        <w:t xml:space="preserve">12.2021 </w:t>
      </w: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ru-RU" w:eastAsia="ru-RU" w:bidi="ru-RU"/>
        </w:rPr>
        <w:t>N 9</w:t>
      </w: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ru-RU" w:eastAsia="ru-RU" w:bidi="ru-RU"/>
        </w:rPr>
        <w:t>9</w:t>
      </w: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ru-RU" w:eastAsia="ru-RU" w:bidi="ru-RU"/>
        </w:rPr>
        <w:t>6</w:t>
      </w:r>
    </w:p>
    <w:p>
      <w:pPr>
        <w:pStyle w:val="Style15"/>
        <w:jc w:val="center"/>
        <w:rPr>
          <w:rStyle w:val="Style12"/>
          <w:rFonts w:eastAsia="Times New Roman" w:cs="Liberation Serif;Times New Roman"/>
          <w:bCs w:val="false"/>
          <w:i w:val="false"/>
          <w:i w:val="false"/>
          <w:iCs w:val="false"/>
          <w:color w:val="000000"/>
          <w:spacing w:val="4"/>
          <w:kern w:val="2"/>
          <w:highlight w:val="white"/>
          <w:u w:val="none"/>
          <w:lang w:val="ru-RU" w:eastAsia="ru-RU" w:bidi="ru-RU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создании муниципального унитарного предприятия</w:t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«Водоснабжающая компания»</w:t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tabs>
          <w:tab w:val="clear" w:pos="708"/>
          <w:tab w:val="left" w:pos="1134" w:leader="none"/>
        </w:tabs>
        <w:ind w:left="0" w:right="0" w:firstLine="709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В целях создания необходимых условий для выполнения социально-значимых задач в области   водоснабжения и водоотведения на территории Камышловского городского округа, а также повышения эффективности использования объектов муниципальной собственности, руководствуясь  Гражданским кодексом Российской Федерации, Федеральным законом Российской Федерации №131-ФЗ от 06.10.2003 г. «Об общих принципах организации местного самоуправления в Российской Федерации», Федеральным законом Российской Федерации №161-ФЗ от 14.11.2002 «О государственных и муниципальных унитарных предприятиях», 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решения Думы Камышловского городского округа от 17.11.2011 года № 793 «Об утверждении положения «О порядке создания, реорганизации и ликвидации муниципальных унитарных предприятий и учреждений в Камышловском городском округе», </w:t>
      </w:r>
      <w:r>
        <w:rPr>
          <w:rStyle w:val="Style12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spacing w:before="0" w:after="0"/>
        <w:ind w:left="0" w:right="0" w:hanging="0"/>
        <w:rPr/>
      </w:pPr>
      <w:r>
        <w:rPr>
          <w:rStyle w:val="Style12"/>
          <w:rFonts w:ascii="Liberation Serif" w:hAnsi="Liberation Serif"/>
          <w:b/>
          <w:color w:val="auto"/>
          <w:sz w:val="28"/>
          <w:szCs w:val="28"/>
        </w:rPr>
        <w:t>ПОСТАНОВЛЯЕТ:</w:t>
      </w:r>
    </w:p>
    <w:p>
      <w:pPr>
        <w:pStyle w:val="Style15"/>
        <w:suppressAutoHyphens w:val="true"/>
        <w:spacing w:lineRule="auto" w:line="240" w:before="0" w:after="0"/>
        <w:ind w:left="0" w:right="0" w:firstLine="68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Создать муниципальное унитарное предприятие «Водоснабжающая компания» (далее-Предприятие):</w:t>
      </w:r>
    </w:p>
    <w:p>
      <w:pPr>
        <w:pStyle w:val="Style15"/>
        <w:numPr>
          <w:ilvl w:val="1"/>
          <w:numId w:val="2"/>
        </w:numPr>
        <w:tabs>
          <w:tab w:val="clear" w:pos="708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Полное наименование Предприятия-муниципальное унитарное предприятие «Водоснабжающая компания», сокращенное наименование Предприятия-МУП «Водоснабжающая компания».</w:t>
      </w:r>
    </w:p>
    <w:p>
      <w:pPr>
        <w:pStyle w:val="Style15"/>
        <w:ind w:left="0" w:right="0" w:firstLine="708"/>
        <w:rPr/>
      </w:pPr>
      <w:r>
        <w:rPr>
          <w:rStyle w:val="Style12"/>
          <w:rFonts w:ascii="Liberation Serif" w:hAnsi="Liberation Serif"/>
          <w:sz w:val="28"/>
          <w:szCs w:val="28"/>
        </w:rPr>
        <w:t>1.2.</w:t>
        <w:tab/>
        <w:t>Место нахождения Предприятия-Свердловская область, город Камышлов, улица Заводская, дом №15. Почтовый адрес Предприятия - 624860, Свердловская область, город Камышлов, улица Заводская, дом №15</w:t>
      </w:r>
      <w:r>
        <w:rPr>
          <w:rStyle w:val="Style12"/>
          <w:rFonts w:ascii="Liberation Serif" w:hAnsi="Liberation Serif"/>
          <w:sz w:val="28"/>
          <w:szCs w:val="28"/>
          <w:highlight w:val="yellow"/>
        </w:rPr>
        <w:t>.</w:t>
      </w:r>
    </w:p>
    <w:p>
      <w:pPr>
        <w:pStyle w:val="Style15"/>
        <w:numPr>
          <w:ilvl w:val="0"/>
          <w:numId w:val="2"/>
        </w:numPr>
        <w:tabs>
          <w:tab w:val="clear" w:pos="708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Определить, что целью деятельности Предприятия является обеспечение бесперебойного функционирования объектов жилищно-коммунального хозяйства, предоставление населению и юридическим лицам коммунальных и жилищных услуг по водоснабжению, водоотведению. </w:t>
      </w:r>
    </w:p>
    <w:p>
      <w:pPr>
        <w:pStyle w:val="Style16"/>
        <w:numPr>
          <w:ilvl w:val="0"/>
          <w:numId w:val="2"/>
        </w:numPr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основные цели деятельности муниципального унитарного предприятия «Водоснабжающая компания», согласно приложению № 1 к настоящему постановлению.</w:t>
      </w:r>
    </w:p>
    <w:p>
      <w:pPr>
        <w:pStyle w:val="Style16"/>
        <w:numPr>
          <w:ilvl w:val="0"/>
          <w:numId w:val="2"/>
        </w:numPr>
        <w:ind w:left="0" w:right="0" w:firstLine="708"/>
        <w:rPr/>
      </w:pPr>
      <w:r>
        <w:rPr>
          <w:rStyle w:val="Style12"/>
          <w:rFonts w:ascii="Liberation Serif" w:hAnsi="Liberation Serif"/>
          <w:sz w:val="28"/>
          <w:szCs w:val="28"/>
        </w:rPr>
        <w:t>Определить уставный фонд Предприятия в размере 119 333,33 (Сто девятнадцать тысяч триста тридцать три рубля) рубля 33 копейки,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 сформированный из муниципального имущества, согласно приложению № 2 к настоящему постановлению.</w:t>
      </w:r>
    </w:p>
    <w:p>
      <w:pPr>
        <w:pStyle w:val="Style15"/>
        <w:numPr>
          <w:ilvl w:val="0"/>
          <w:numId w:val="2"/>
        </w:numPr>
        <w:tabs>
          <w:tab w:val="clear" w:pos="708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Комитету по управлению имуществом и земельным ресурсам администрации Камышловского городского округа (Михайлова Е.В.):</w:t>
      </w:r>
    </w:p>
    <w:p>
      <w:pPr>
        <w:pStyle w:val="Style16"/>
        <w:numPr>
          <w:ilvl w:val="1"/>
          <w:numId w:val="2"/>
        </w:numPr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подготовить постановление администрации Кам</w:t>
      </w:r>
      <w:r>
        <w:rPr>
          <w:rFonts w:ascii="Liberation Serif" w:hAnsi="Liberation Serif"/>
          <w:sz w:val="28"/>
          <w:szCs w:val="28"/>
        </w:rPr>
        <w:t>ы</w:t>
      </w:r>
      <w:r>
        <w:rPr>
          <w:rFonts w:ascii="Liberation Serif" w:hAnsi="Liberation Serif"/>
          <w:sz w:val="28"/>
          <w:szCs w:val="28"/>
        </w:rPr>
        <w:t>шловского городского округа об  утверждении Устава Муниципального унитарного предприятия «Водоснабжающая компания»;</w:t>
      </w:r>
    </w:p>
    <w:p>
      <w:pPr>
        <w:pStyle w:val="Style16"/>
        <w:numPr>
          <w:ilvl w:val="1"/>
          <w:numId w:val="2"/>
        </w:numPr>
        <w:ind w:left="0" w:right="0" w:firstLine="708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>закрепить за предприятием передаваемое муниципальное имущество на праве хозяйственного ведения, передать имущество по акту приема – передачи и включить предприятие в реестр муниципальной собственности</w:t>
      </w:r>
      <w:r>
        <w:rPr>
          <w:rStyle w:val="Style12"/>
          <w:rFonts w:ascii="Liberation Serif" w:hAnsi="Liberation Serif"/>
          <w:sz w:val="28"/>
          <w:szCs w:val="28"/>
        </w:rPr>
        <w:t>.</w:t>
      </w:r>
    </w:p>
    <w:p>
      <w:pPr>
        <w:pStyle w:val="Style15"/>
        <w:numPr>
          <w:ilvl w:val="0"/>
          <w:numId w:val="2"/>
        </w:numPr>
        <w:tabs>
          <w:tab w:val="clear" w:pos="708"/>
        </w:tabs>
        <w:ind w:left="0" w:right="0" w:firstLine="708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Назначить директором МУП «Водоснабжающая компания» Лопатина Р.О.. </w:t>
      </w:r>
      <w:r>
        <w:rPr>
          <w:rStyle w:val="Style12"/>
          <w:rFonts w:cs="Arial" w:ascii="Liberation Serif" w:hAnsi="Liberation Serif"/>
          <w:color w:val="444444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Заключить с Лопатиным Р.О. трудовой договор с момента государственной регистрации предприятия.</w:t>
      </w:r>
    </w:p>
    <w:p>
      <w:pPr>
        <w:pStyle w:val="Style15"/>
        <w:numPr>
          <w:ilvl w:val="0"/>
          <w:numId w:val="2"/>
        </w:numPr>
        <w:tabs>
          <w:tab w:val="clear" w:pos="708"/>
        </w:tabs>
        <w:ind w:left="0" w:right="0" w:firstLine="708"/>
        <w:rPr/>
      </w:pPr>
      <w:r>
        <w:rPr>
          <w:rStyle w:val="Style12"/>
          <w:rFonts w:ascii="Liberation Serif" w:hAnsi="Liberation Serif"/>
          <w:sz w:val="28"/>
          <w:szCs w:val="28"/>
        </w:rPr>
        <w:t>Лопатину Р.О. в сроки и в порядке, установленном действующим законодательством, обеспечить государственную регистрацию юридического лица, постановку его на учет в налоговом органе.</w:t>
      </w:r>
      <w:r>
        <w:rPr>
          <w:rStyle w:val="Style12"/>
          <w:rFonts w:cs="Arial" w:ascii="Liberation Serif" w:hAnsi="Liberation Serif"/>
          <w:color w:val="444444"/>
          <w:sz w:val="28"/>
          <w:szCs w:val="28"/>
        </w:rPr>
        <w:t xml:space="preserve"> </w:t>
      </w:r>
    </w:p>
    <w:p>
      <w:pPr>
        <w:pStyle w:val="Style15"/>
        <w:numPr>
          <w:ilvl w:val="0"/>
          <w:numId w:val="2"/>
        </w:numPr>
        <w:tabs>
          <w:tab w:val="clear" w:pos="708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Установить, что функции и полномочия Учредителя муниципального унитарного предприятия «Водоснабжающая компания» осуществляет администрация Камышловского городского округа.</w:t>
      </w:r>
    </w:p>
    <w:p>
      <w:pPr>
        <w:pStyle w:val="Style15"/>
        <w:numPr>
          <w:ilvl w:val="0"/>
          <w:numId w:val="2"/>
        </w:numPr>
        <w:tabs>
          <w:tab w:val="clear" w:pos="708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Отделу жилищно – коммунального хозяйства администрации Камышловского городского округа ( Семеновой Л.А.)  осуществлять  координацию деятельности муниципального унитарного предприятия «Водоснабжающая компания»</w:t>
      </w:r>
    </w:p>
    <w:p>
      <w:pPr>
        <w:pStyle w:val="Style15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 – телекоммуникационной сети «Интернет» в десятидневный срок.</w:t>
      </w:r>
    </w:p>
    <w:p>
      <w:pPr>
        <w:pStyle w:val="Style15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Настоящее постановление вступает в силу с момента его официального опубликования.</w:t>
      </w:r>
    </w:p>
    <w:p>
      <w:pPr>
        <w:pStyle w:val="Style15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 </w:t>
      </w:r>
    </w:p>
    <w:p>
      <w:pPr>
        <w:pStyle w:val="Style15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5"/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>
      <w:pPr>
        <w:pStyle w:val="3"/>
        <w:pBdr>
          <w:top w:val="nil"/>
          <w:left w:val="nil"/>
          <w:bottom w:val="nil"/>
          <w:right w:val="nil"/>
        </w:pBdr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3"/>
        <w:pBdr>
          <w:top w:val="nil"/>
          <w:left w:val="nil"/>
          <w:bottom w:val="nil"/>
          <w:right w:val="nil"/>
        </w:pBdr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Style15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>
      <w:pPr>
        <w:pStyle w:val="Style15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 </w:t>
      </w:r>
    </w:p>
    <w:p>
      <w:pPr>
        <w:pStyle w:val="Style15"/>
        <w:tabs>
          <w:tab w:val="clear" w:pos="708"/>
        </w:tabs>
        <w:ind w:left="5103" w:right="0" w:hanging="0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округа от </w:t>
      </w:r>
      <w:r>
        <w:rPr>
          <w:rStyle w:val="Style12"/>
          <w:rFonts w:eastAsia="Times New Roman" w:cs="Times New Roman" w:ascii="Liberation Serif" w:hAnsi="Liberation Serif"/>
          <w:sz w:val="28"/>
          <w:szCs w:val="28"/>
          <w:lang w:eastAsia="ru-RU"/>
        </w:rPr>
        <w:t>27.</w:t>
      </w:r>
      <w:r>
        <w:rPr>
          <w:rStyle w:val="Style12"/>
          <w:rFonts w:ascii="Liberation Serif" w:hAnsi="Liberation Serif"/>
          <w:sz w:val="28"/>
          <w:szCs w:val="28"/>
        </w:rPr>
        <w:t xml:space="preserve">12.2021 года № </w:t>
      </w:r>
      <w:r>
        <w:rPr>
          <w:rStyle w:val="Style12"/>
          <w:rFonts w:eastAsia="Times New Roman" w:cs="Times New Roman" w:ascii="Liberation Serif" w:hAnsi="Liberation Serif"/>
          <w:sz w:val="28"/>
          <w:szCs w:val="28"/>
          <w:lang w:eastAsia="ru-RU"/>
        </w:rPr>
        <w:t>996</w:t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Основные цели деятельности</w:t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муниципального унитарного предприятия</w:t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«Водоснабжающая компания»</w:t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</w:t>
      </w:r>
      <w:r>
        <w:rPr>
          <w:rFonts w:cs="Times New Roman" w:ascii="Liberation Serif" w:hAnsi="Liberation Serif"/>
          <w:sz w:val="28"/>
          <w:szCs w:val="28"/>
        </w:rPr>
        <w:t>Муниципальное    унитарное    предприятие «Водоснабжающая компания», именуемое в дальнейшем МУП «Водоснабжающая компания», создано на основании законодательства Российской Федерации, муниципальных правовых актов Камышловского городского округа.</w:t>
      </w:r>
    </w:p>
    <w:p>
      <w:pPr>
        <w:pStyle w:val="Style15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Учредителем МУП «Водоснабжающая компания» является Камышловский городской округ. Органом, осуществляющим функции и полномочия учредителя является администрация Камышловского городского округа.</w:t>
      </w:r>
    </w:p>
    <w:p>
      <w:pPr>
        <w:pStyle w:val="Style15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Цели, предмет и виды деятельности МУП «Водоснабжающая компания»:</w:t>
      </w:r>
    </w:p>
    <w:p>
      <w:pPr>
        <w:pStyle w:val="Style15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Предприятие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 и Уставом, путем соответствующего выполнения работ и оказания услуг.</w:t>
      </w:r>
    </w:p>
    <w:p>
      <w:pPr>
        <w:pStyle w:val="Style15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  <w:tab/>
        <w:t>Основной целью деятельности МУП «Водоснабжающая компания»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является </w:t>
      </w:r>
      <w:bookmarkStart w:id="0" w:name="P123"/>
      <w:bookmarkEnd w:id="0"/>
      <w:r>
        <w:rPr>
          <w:rFonts w:cs="Times New Roman" w:ascii="Liberation Serif" w:hAnsi="Liberation Serif"/>
          <w:sz w:val="28"/>
          <w:szCs w:val="28"/>
        </w:rPr>
        <w:t>обеспечение бесперебойного функционирования объектов жилищно-коммунального хозяйства, предоставление населению и юридическим лицам коммунальных и жилищных услуг по водоснабжению, водоотведению, выполнение работ и получения прибыли</w:t>
      </w:r>
    </w:p>
    <w:p>
      <w:pPr>
        <w:pStyle w:val="ConsPlusNormal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 </w:t>
      </w:r>
      <w:r>
        <w:rPr>
          <w:rStyle w:val="Style12"/>
          <w:rFonts w:cs="Times New Roman" w:ascii="Liberation Serif" w:hAnsi="Liberation Serif"/>
          <w:sz w:val="28"/>
          <w:szCs w:val="28"/>
        </w:rPr>
        <w:t>3</w:t>
      </w:r>
      <w:r>
        <w:rPr>
          <w:rStyle w:val="Style12"/>
          <w:rFonts w:ascii="Liberation Serif" w:hAnsi="Liberation Serif"/>
          <w:sz w:val="28"/>
          <w:szCs w:val="28"/>
        </w:rPr>
        <w:t>.</w:t>
      </w:r>
      <w:r>
        <w:rPr>
          <w:rStyle w:val="Style12"/>
          <w:rFonts w:cs="Times New Roman" w:ascii="Liberation Serif" w:hAnsi="Liberation Serif"/>
          <w:sz w:val="28"/>
          <w:szCs w:val="28"/>
        </w:rPr>
        <w:t xml:space="preserve"> Предметом деятельности Предприятия является: обеспечение потребителей услугами водоснабжения и водоотведения.</w:t>
      </w:r>
    </w:p>
    <w:p>
      <w:pPr>
        <w:pStyle w:val="Style17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Для достижения указанных целей Предприятие осуществляет следующие основные виды деятельности:</w:t>
      </w:r>
    </w:p>
    <w:tbl>
      <w:tblPr>
        <w:tblW w:w="9781" w:type="dxa"/>
        <w:jc w:val="left"/>
        <w:tblInd w:w="-8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81"/>
      </w:tblGrid>
      <w:tr>
        <w:trPr/>
        <w:tc>
          <w:tcPr>
            <w:tcW w:w="9781" w:type="dxa"/>
            <w:tcBorders/>
          </w:tcPr>
          <w:p>
            <w:pPr>
              <w:pStyle w:val="Style17"/>
              <w:ind w:left="0" w:right="0" w:firstLine="709"/>
              <w:rPr/>
            </w:pPr>
            <w:r>
              <w:rPr>
                <w:rStyle w:val="Style12"/>
                <w:rFonts w:ascii="Liberation Serif" w:hAnsi="Liberation Serif"/>
                <w:bCs/>
                <w:iCs/>
                <w:sz w:val="28"/>
                <w:szCs w:val="28"/>
              </w:rPr>
              <w:t>4.1.Забор, очистка и распределение воды;</w:t>
            </w:r>
          </w:p>
        </w:tc>
      </w:tr>
      <w:tr>
        <w:trPr>
          <w:trHeight w:val="1033" w:hRule="atLeast"/>
        </w:trPr>
        <w:tc>
          <w:tcPr>
            <w:tcW w:w="9781" w:type="dxa"/>
            <w:tcBorders/>
          </w:tcPr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4.2. Забор, очистку и распределение воды для бытовых и промышленных нужд;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4.3. Сбор и обработка сточных вод;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4.4. Деятельность коллекторных систем или средств по очистке сточных вод, которые их собирают и очищают;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4.5. Деятельность по обеспечению работоспособности сетей водоснабжения, водоотведения;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4.6. Деятельность по обеспечению работоспособности объектов водоснабжения и водоотведения;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4.7. Эксплуатация энергоустановок;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4.8. Эксплуатация и текущий ремонт сетей водоснабжения и водоотведения;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4.9. Реконструкция наружных сетей водоснабжения и водоотведения;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4.10. Оказание услуг населению и прочим потребителям по водоснабжению и водоотведению;</w:t>
            </w:r>
          </w:p>
        </w:tc>
      </w:tr>
      <w:tr>
        <w:trPr>
          <w:trHeight w:val="4907" w:hRule="atLeast"/>
        </w:trPr>
        <w:tc>
          <w:tcPr>
            <w:tcW w:w="9781" w:type="dxa"/>
            <w:tcBorders/>
          </w:tcPr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4.11. Обеспечение функционирования коллекторных систем или средств по очистке сточных вод;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4.12. Сбор и транспортировку бытовых или промышленных сточных вод от одного или нескольких пользователей, а также дождевой воды посредством сетей водоотведения, коллекторов, резервуаров и прочих средств (средств для транспортировки сточных вод и т.п.);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4.13. Освобождение и очистку выгребных ям и загрязненных резервуаров, сливов и колодцев от сточных вод;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4.14. Обслуживание туалетов с химической стерилизацией;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4.15. Очистку сточных вод (включая бытовые и промышленные сточные воды, воды из плавательных бассейнов и т.д.) посредством физических, химических и биологических процессов, таких как растворение, экранирование, фильтрование, отстаивание и т.д.;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4.16. Обслуживание и очистку коллекторов и сетей водоотведения, включая прочистку коллекторов гибким стержнем;</w:t>
            </w:r>
          </w:p>
        </w:tc>
      </w:tr>
      <w:tr>
        <w:trPr>
          <w:trHeight w:val="4611" w:hRule="atLeast"/>
        </w:trPr>
        <w:tc>
          <w:tcPr>
            <w:tcW w:w="9781" w:type="dxa"/>
            <w:tcBorders/>
          </w:tcPr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4.17. Производство земляных работ;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4.18. Производство общестроительных работ;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4.19. Производство прочих строительных работ;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4.20. Предоставление прочих видов услуг;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4.21. Деятельность автомобильного грузового транспорта; 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4.22 Взимание денежных средств за предоставленные жилищно-коммунальные услуги, в том числе третьими лицами, с населения и прочих потребителей Камышловского городского округа;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4.23. Кроме основной деятельности, указанной выше, Предприятие имеет право осуществлять дополнительные виды деятельности на договорной основе: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оказание для физических и юридических лиц транспортных работ и услуг;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выполнение для физических и юридических лиц прочих работ и услуг, не запрещенных действующим законодательством РФ.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4.24. Предприятие может самостоятельно осуществлять другие виды деятельности по профилю Предприятия, не запрещенные действующим законодательством;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4.25.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      </w:r>
          </w:p>
          <w:p>
            <w:pPr>
              <w:pStyle w:val="Style16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Приложение № 2</w:t>
      </w:r>
    </w:p>
    <w:p>
      <w:pPr>
        <w:pStyle w:val="Style15"/>
        <w:tabs>
          <w:tab w:val="clear" w:pos="708"/>
        </w:tabs>
        <w:ind w:left="708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>
      <w:pPr>
        <w:pStyle w:val="Style1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 </w:t>
      </w:r>
    </w:p>
    <w:p>
      <w:pPr>
        <w:pStyle w:val="Style15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>
        <w:rPr>
          <w:rStyle w:val="Style12"/>
          <w:rFonts w:ascii="Liberation Serif" w:hAnsi="Liberation Serif"/>
          <w:sz w:val="28"/>
          <w:szCs w:val="28"/>
        </w:rPr>
        <w:t xml:space="preserve">округа от </w:t>
      </w:r>
      <w:r>
        <w:rPr>
          <w:rStyle w:val="Style12"/>
          <w:rFonts w:eastAsia="Times New Roman" w:cs="Times New Roman" w:ascii="Liberation Serif" w:hAnsi="Liberation Serif"/>
          <w:sz w:val="28"/>
          <w:szCs w:val="28"/>
          <w:lang w:eastAsia="ru-RU"/>
        </w:rPr>
        <w:t>27.</w:t>
      </w:r>
      <w:r>
        <w:rPr>
          <w:rStyle w:val="Style12"/>
          <w:rFonts w:ascii="Liberation Serif" w:hAnsi="Liberation Serif"/>
          <w:sz w:val="28"/>
          <w:szCs w:val="28"/>
        </w:rPr>
        <w:t xml:space="preserve">12.2021 года № </w:t>
      </w:r>
      <w:r>
        <w:rPr>
          <w:rStyle w:val="Style12"/>
          <w:rFonts w:eastAsia="Times New Roman" w:cs="Times New Roman" w:ascii="Liberation Serif" w:hAnsi="Liberation Serif"/>
          <w:sz w:val="28"/>
          <w:szCs w:val="28"/>
          <w:lang w:eastAsia="ru-RU"/>
        </w:rPr>
        <w:t>996</w:t>
      </w:r>
    </w:p>
    <w:p>
      <w:pPr>
        <w:pStyle w:val="Style15"/>
        <w:shd w:fill="FFFFFF" w:val="clear"/>
        <w:tabs>
          <w:tab w:val="clear" w:pos="708"/>
        </w:tabs>
        <w:ind w:left="850" w:right="0" w:hanging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15"/>
        <w:shd w:fill="FFFFFF" w:val="clear"/>
        <w:tabs>
          <w:tab w:val="clear" w:pos="708"/>
        </w:tabs>
        <w:ind w:left="850" w:right="0" w:hanging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15"/>
        <w:shd w:fill="FFFFFF" w:val="clear"/>
        <w:tabs>
          <w:tab w:val="clear" w:pos="708"/>
        </w:tabs>
        <w:ind w:left="850" w:right="0" w:hanging="0"/>
        <w:jc w:val="center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>Перечень и стоимость муниципального имущества, составляющего уставной фонд   МУП «</w:t>
      </w:r>
      <w:r>
        <w:rPr>
          <w:rStyle w:val="Style12"/>
          <w:rFonts w:ascii="Liberation Serif" w:hAnsi="Liberation Serif"/>
          <w:sz w:val="28"/>
          <w:szCs w:val="28"/>
        </w:rPr>
        <w:t>Водоснабжающая компания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» </w:t>
      </w:r>
    </w:p>
    <w:p>
      <w:pPr>
        <w:pStyle w:val="Style15"/>
        <w:shd w:fill="FFFFFF" w:val="clear"/>
        <w:tabs>
          <w:tab w:val="clear" w:pos="708"/>
        </w:tabs>
        <w:ind w:left="85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924" w:type="dxa"/>
        <w:jc w:val="left"/>
        <w:tblInd w:w="-3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3627"/>
        <w:gridCol w:w="3544"/>
        <w:gridCol w:w="2269"/>
      </w:tblGrid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Стоимость, руб.</w:t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Рыхлитель однозубый усиленный для экскаватора ЕК 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Общая длина 1 200 мм</w:t>
            </w:r>
          </w:p>
          <w:p>
            <w:pPr>
              <w:pStyle w:val="Style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Ширина стойки-80мм</w:t>
            </w:r>
          </w:p>
          <w:p>
            <w:pPr>
              <w:pStyle w:val="Style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Марка используемой стали -09Г2С</w:t>
            </w:r>
          </w:p>
          <w:p>
            <w:pPr>
              <w:pStyle w:val="Style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Комплектация: пальцы, коронка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119 333,33</w:t>
            </w:r>
          </w:p>
        </w:tc>
      </w:tr>
    </w:tbl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libri Light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5"/>
    <w:next w:val="Style15"/>
    <w:qFormat/>
    <w:pPr>
      <w:keepNext w:val="true"/>
      <w:keepLines/>
      <w:numPr>
        <w:ilvl w:val="0"/>
        <w:numId w:val="1"/>
      </w:numPr>
      <w:suppressAutoHyphens w:val="true"/>
      <w:spacing w:before="240" w:after="16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Style15"/>
    <w:next w:val="Style15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outlineLvl w:val="2"/>
    </w:pPr>
    <w:rPr>
      <w:sz w:val="28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Calibri Light" w:hAnsi="Calibri Light" w:eastAsia="Times New Roman" w:cs="Times New Roman"/>
      <w:color w:val="2E74B5"/>
      <w:sz w:val="32"/>
      <w:szCs w:val="32"/>
      <w:lang w:eastAsia="ru-RU"/>
    </w:rPr>
  </w:style>
  <w:style w:type="character" w:styleId="31">
    <w:name w:val="Заголовок 3 Знак"/>
    <w:basedOn w:val="Style12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>
    <w:name w:val="Основной текст 2 Знак"/>
    <w:basedOn w:val="Style12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WWCharLFO1LVL1">
    <w:name w:val="WW_CharLFO1LVL1"/>
    <w:qFormat/>
    <w:rPr>
      <w:sz w:val="28"/>
      <w:szCs w:val="28"/>
    </w:rPr>
  </w:style>
  <w:style w:type="character" w:styleId="WWCharLFO1LVL2">
    <w:name w:val="WW_CharLFO1LVL2"/>
    <w:qFormat/>
    <w:rPr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5"/>
    <w:qFormat/>
    <w:pPr>
      <w:suppressAutoHyphens w:val="true"/>
    </w:pPr>
    <w:rPr>
      <w:sz w:val="28"/>
    </w:rPr>
  </w:style>
  <w:style w:type="paragraph" w:styleId="Style16">
    <w:name w:val="Абзац списка"/>
    <w:basedOn w:val="Style15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851"/>
      <w:jc w:val="both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LibreOffice/6.4.7.2$Linux_X86_64 LibreOffice_project/40$Build-2</Application>
  <Pages>6</Pages>
  <Words>977</Words>
  <Characters>7530</Characters>
  <CharactersWithSpaces>8796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2021-12-22T10:21:00Z</dcterms:created>
  <dc:creator>Елена Викторовна</dc:creator>
  <dc:description/>
  <dc:language>ru-RU</dc:language>
  <cp:lastModifiedBy/>
  <cp:lastPrinted>2021-12-28T16:45:58Z</cp:lastPrinted>
  <dcterms:modified xsi:type="dcterms:W3CDTF">2021-12-28T16:47:30Z</dcterms:modified>
  <cp:revision>3</cp:revision>
  <dc:subject/>
  <dc:title/>
</cp:coreProperties>
</file>