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rStyle w:val="Style12"/>
          <w:rFonts w:ascii="Liberation Serif" w:hAnsi="Liberation Serif"/>
        </w:rPr>
        <w:drawing>
          <wp:inline distT="0" distB="12700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jc w:val="center"/>
        <w:rPr/>
      </w:pPr>
      <w:r>
        <w:rPr>
          <w:rStyle w:val="Style12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4"/>
        </w:rPr>
        <w:t>07.06.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2022 N 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>46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>7</w:t>
      </w:r>
    </w:p>
    <w:p>
      <w:pPr>
        <w:pStyle w:val="Style21"/>
        <w:spacing w:lineRule="atLeast" w:line="0"/>
        <w:ind w:left="0" w:right="0" w:hanging="0"/>
        <w:jc w:val="left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Style21"/>
        <w:spacing w:lineRule="atLeast" w:line="0"/>
        <w:ind w:left="0" w:right="0" w:hanging="0"/>
        <w:rPr/>
      </w:pPr>
      <w:r>
        <w:rPr>
          <w:rStyle w:val="Style12"/>
          <w:rFonts w:ascii="Liberation Serif" w:hAnsi="Liberation Serif"/>
          <w:szCs w:val="28"/>
        </w:rPr>
        <w:t xml:space="preserve">О проведении на территории Камышловского городского округа </w:t>
      </w:r>
    </w:p>
    <w:p>
      <w:pPr>
        <w:pStyle w:val="Style21"/>
        <w:spacing w:lineRule="atLeast" w:line="0"/>
        <w:ind w:left="0" w:right="0" w:hanging="0"/>
        <w:rPr/>
      </w:pPr>
      <w:r>
        <w:rPr>
          <w:rStyle w:val="Style12"/>
          <w:rFonts w:ascii="Liberation Serif" w:hAnsi="Liberation Serif"/>
          <w:szCs w:val="28"/>
        </w:rPr>
        <w:t>Дня памяти и скорби 22 июня 2022 года</w:t>
      </w:r>
    </w:p>
    <w:p>
      <w:pPr>
        <w:pStyle w:val="Style21"/>
        <w:spacing w:lineRule="atLeast" w:line="0"/>
        <w:ind w:left="0" w:right="0" w:firstLine="540"/>
        <w:rPr>
          <w:rFonts w:ascii="Liberation Serif" w:hAnsi="Liberation Serif"/>
          <w:i/>
          <w:i/>
          <w:color w:val="292929"/>
          <w:szCs w:val="28"/>
        </w:rPr>
      </w:pPr>
      <w:r>
        <w:rPr>
          <w:rFonts w:ascii="Liberation Serif" w:hAnsi="Liberation Serif"/>
          <w:i/>
          <w:color w:val="292929"/>
          <w:szCs w:val="28"/>
        </w:rPr>
      </w:r>
    </w:p>
    <w:p>
      <w:pPr>
        <w:pStyle w:val="Style2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формирования уважительного отношения граждан к боевым действиям и трудовым подвигам старших поколений, к памяти земляков, погибших в годы Великой Отечественной войны 1941-1945 годов, в соответствии с федеральным законом от 13 марта 1995 года № 32-ФЗ «О днях воинской славы и памятных датах», руководствуясь подпунктами 24, 37, 55, пункта 1, статьи 30 главы 4 Устава Камышловского городского округа, принятого решением Камышловской городской Думы от 26 мая 2005 г. № 257 (с дополнениями и изменениями), администрация Камышловского городского округа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1. Провести на территории Камышловского городского округа 22 июня 2022 года мероприятия, посвященные Дню памяти и скорби.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 xml:space="preserve">2. Утвердить: 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1) Состав организационного комитета по подготовке и проведению в Камышловском городском округе мероприятий, посвященных Дню памяти и скорби в 2022 году (Приложение 1);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 xml:space="preserve">2) План проведения Дня памяти и скорби в 2022 году в Камышловском городском округе (Приложение 2). 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 xml:space="preserve">3. Комитету по образованию, культуре, спорту и делам молодежи администрации Камышловского городского округа (Кузнецовой О.М.) поручить муниципальным учреждениям, в отношении которых Комитет по образованию культуре спорту и делам молодежи выполняет функции учредителя, обеспечить реализацию Плана, утвержденного подпунктом 2 пункта 2 настоящего постановления, выступить в качестве организаторов мероприятий и осуществить их подготовку. 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4. Рекомендовать Межмуниципальному отделу Министерства внутренних дел Российской Федерации «Камышловский» (Кириллов А.А.):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1) обеспечить охрану общественного порядка с 09.30 часов до 13.00 часов и с 20.00 часов до 22.30 часов 22 июня 2022 года на городской площади и в аллее Славы при проведении мероприятий, посвященных Дню памяти и скорби;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2) перекрыть движение частного автотранспорта по ул. Карла Маркса (не четная сторона) от пересечения с улицей Маяковского до пересечения с улицей Ленина на период проведения мероприятий 22 июня 2022 года с 9.30 до 12.00 и с 20.00 часов до 22.30 часов.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5. Отделу гражданской обороны и пожарной безопасности администрации Камышловского городского округа (Удалов А.В.) проинформировать население и должностных лиц, ответственных за эксплуатацию местных, локальных, объектовых систем оповещения о включении региональной системы центрального оповещения населения Свердловской области в 14.15 часов 22 июня 2022 года, а также организовать включение в указанное время автономных электросистем.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6.  Рекомендовать руководителям предприятий, организаций и учреждений оказать необходимую помощь и содействие в организации мероприятий.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 xml:space="preserve">7. Организационному отделу администрации Камышловского городского округа (Сенцова Е.В.) опубликовать План проведения Дня памяти и скорби в 2022 году в Камышловском городском округе, утвержденного подпунктом 2 пункта 2 настоящего постановления в средствах массовой информации и разместить на официальном сайте Камышловского городского округа до 15 июня 2022 года. </w:t>
      </w:r>
    </w:p>
    <w:p>
      <w:pPr>
        <w:pStyle w:val="Style21"/>
        <w:ind w:left="0" w:right="0"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8.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К.Е. Мартьянов</w:t>
      </w:r>
    </w:p>
    <w:p>
      <w:pPr>
        <w:pStyle w:val="Style20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p>
      <w:pPr>
        <w:pStyle w:val="Style2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tLeast" w:line="0"/>
        <w:ind w:left="0" w:right="0" w:firstLine="540"/>
        <w:rPr>
          <w:rFonts w:ascii="Liberation Serif" w:hAnsi="Liberation Serif"/>
          <w:i/>
          <w:i/>
          <w:color w:val="292929"/>
          <w:szCs w:val="28"/>
        </w:rPr>
      </w:pPr>
      <w:r>
        <w:rPr>
          <w:rFonts w:ascii="Liberation Serif" w:hAnsi="Liberation Serif"/>
          <w:i/>
          <w:color w:val="292929"/>
          <w:szCs w:val="28"/>
        </w:rPr>
      </w:r>
    </w:p>
    <w:p>
      <w:pPr>
        <w:pStyle w:val="Style21"/>
        <w:spacing w:lineRule="atLeast" w:line="0"/>
        <w:ind w:left="0" w:right="0" w:firstLine="540"/>
        <w:rPr>
          <w:rFonts w:ascii="Liberation Serif" w:hAnsi="Liberation Serif"/>
          <w:i/>
          <w:i/>
          <w:color w:val="292929"/>
          <w:szCs w:val="28"/>
        </w:rPr>
      </w:pPr>
      <w:r>
        <w:rPr>
          <w:rFonts w:ascii="Liberation Serif" w:hAnsi="Liberation Serif"/>
          <w:i/>
          <w:color w:val="292929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4683"/>
      </w:tblGrid>
      <w:tr>
        <w:trPr/>
        <w:tc>
          <w:tcPr>
            <w:tcW w:w="4604" w:type="dxa"/>
            <w:tcBorders/>
          </w:tcPr>
          <w:p>
            <w:pPr>
              <w:pStyle w:val="Style2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83" w:type="dxa"/>
            <w:tcBorders/>
          </w:tcPr>
          <w:p>
            <w:pPr>
              <w:pStyle w:val="Style2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1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>
            <w:pPr>
              <w:pStyle w:val="Style2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Style20"/>
              <w:jc w:val="left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2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07.06.2022 </w:t>
            </w: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>467</w:t>
            </w:r>
          </w:p>
        </w:tc>
      </w:tr>
    </w:tbl>
    <w:p>
      <w:pPr>
        <w:pStyle w:val="Style2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организационного комитета по подготовке и проведению мероприятий, посвященных Дню памяти и скорби в Камышловском городском округе 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2022 году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Председатель организационного комитета: 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А.В.– глава Камышловского городского округа.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Заместитель председателя организационного комитета: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Соболева А.А.– заместитель главы администрации Камышловского городского округа. 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Секретарь комитета: 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Колотилова К.В.–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Члены организационного комитета: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Чикунова Т.А.– председатель Думы Камышловского городского округа (по согласованию);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Кузнецова О.М.– председатель Комитета по образованию, культуре, спорту и делам молодежи администрации Камышловского городского округа; 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Сенцова Е.В.– начальник организационного отдела администрации Камышловского городского округа;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Сажаева Н.Н.– директор муниципального казенного учреждения «Центр обеспечения деятельности городской системы образования»;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 А.А.– начальник Межмуниципального отдела Министерства внутренних дел Российской Федерации «Камышловский» (по согласованию);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Фадеев Д.Ю.– директор Муниципального казенного учреждения «Центр обеспечения деятельности администрации»;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С.В.– главный редактор Автономной некоммерческой организации «Редакция Камышловские известия» (по согласованию);</w:t>
      </w:r>
    </w:p>
    <w:p>
      <w:pPr>
        <w:pStyle w:val="Style20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Мишенькина А.А. – специалист по связям с общественностью Муниципального казенного учреждения «Центр обеспечения деятельности администрации Камышловского городского округа»;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М.Н.– директор Автономного муниципального учреждения культуры Камышловского городского округа «Центр культуры и досуга»;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 Д.В.– директор Муниципального казенного учреждения «Центр городского обслуживания»;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Микушин М.Ю. – военный комиссар г. Камышлов, Камышловского и Пышминского районов;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Бродовикова А.И. – председатель Совета ветеранов войны и труда вооруженных сил и правоохранительных органов города и района;</w:t>
      </w:r>
    </w:p>
    <w:p>
      <w:pPr>
        <w:pStyle w:val="Style20"/>
        <w:ind w:left="0" w:right="0" w:firstLine="567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Удалов А.В. – начальник отдела гражданской обороны и пожарной безопасности администрации Камышловского городского округа.</w:t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rPr/>
        <w:tc>
          <w:tcPr>
            <w:tcW w:w="4785" w:type="dxa"/>
            <w:tcBorders/>
          </w:tcPr>
          <w:p>
            <w:pPr>
              <w:pStyle w:val="Style20"/>
              <w:jc w:val="both"/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</w:r>
          </w:p>
        </w:tc>
        <w:tc>
          <w:tcPr>
            <w:tcW w:w="4786" w:type="dxa"/>
            <w:tcBorders/>
          </w:tcPr>
          <w:p>
            <w:pPr>
              <w:pStyle w:val="Style20"/>
              <w:jc w:val="left"/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  <w:t>Приложение 2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/>
                <w:b/>
                <w:color w:val="292929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color w:val="292929"/>
                <w:sz w:val="28"/>
                <w:szCs w:val="28"/>
                <w:lang w:eastAsia="en-US"/>
              </w:rPr>
              <w:t>УТВЕРЖДЕН</w:t>
            </w:r>
          </w:p>
          <w:p>
            <w:pPr>
              <w:pStyle w:val="Style20"/>
              <w:jc w:val="left"/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  <w:lang w:eastAsia="en-US"/>
              </w:rPr>
              <w:t>постановлением администрации Камышловского городского округа</w:t>
            </w:r>
          </w:p>
          <w:p>
            <w:pPr>
              <w:pStyle w:val="Style20"/>
              <w:jc w:val="left"/>
              <w:rPr/>
            </w:pPr>
            <w:r>
              <w:rPr>
                <w:rStyle w:val="Style12"/>
                <w:rFonts w:ascii="Liberation Serif" w:hAnsi="Liberation Serif"/>
                <w:color w:val="292929"/>
                <w:sz w:val="28"/>
                <w:szCs w:val="28"/>
                <w:lang w:eastAsia="en-US"/>
              </w:rPr>
              <w:t xml:space="preserve">от </w:t>
            </w:r>
            <w:r>
              <w:rPr>
                <w:rStyle w:val="Style12"/>
                <w:rFonts w:eastAsia="Times New Roman" w:ascii="Liberation Serif" w:hAnsi="Liberation Serif"/>
                <w:color w:val="292929"/>
                <w:sz w:val="28"/>
                <w:szCs w:val="28"/>
                <w:lang w:eastAsia="en-US"/>
              </w:rPr>
              <w:t xml:space="preserve">07.06.2022 </w:t>
            </w:r>
            <w:r>
              <w:rPr>
                <w:rStyle w:val="Style12"/>
                <w:rFonts w:ascii="Liberation Serif" w:hAnsi="Liberation Serif"/>
                <w:color w:val="292929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Style12"/>
                <w:rFonts w:ascii="Liberation Serif" w:hAnsi="Liberation Serif"/>
                <w:color w:val="292929"/>
                <w:sz w:val="28"/>
                <w:szCs w:val="28"/>
                <w:lang w:val="en-US" w:eastAsia="en-US"/>
              </w:rPr>
              <w:t xml:space="preserve">N </w:t>
            </w:r>
            <w:r>
              <w:rPr>
                <w:rStyle w:val="Style12"/>
                <w:rFonts w:ascii="Liberation Serif" w:hAnsi="Liberation Serif"/>
                <w:color w:val="292929"/>
                <w:sz w:val="28"/>
                <w:szCs w:val="28"/>
                <w:lang w:val="en-US" w:eastAsia="en-US"/>
              </w:rPr>
              <w:t>467</w:t>
            </w:r>
          </w:p>
        </w:tc>
      </w:tr>
    </w:tbl>
    <w:p>
      <w:pPr>
        <w:pStyle w:val="Style20"/>
        <w:spacing w:lineRule="atLeast" w:line="0"/>
        <w:ind w:left="0" w:right="0"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tLeast" w:line="0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</w:t>
      </w:r>
    </w:p>
    <w:p>
      <w:pPr>
        <w:pStyle w:val="Style20"/>
        <w:spacing w:lineRule="atLeast" w:line="0"/>
        <w:ind w:left="0" w:right="0" w:firstLine="540"/>
        <w:jc w:val="center"/>
        <w:rPr/>
      </w:pPr>
      <w:r>
        <w:rPr>
          <w:rStyle w:val="Style12"/>
          <w:rFonts w:ascii="Liberation Serif" w:hAnsi="Liberation Serif"/>
          <w:b/>
          <w:sz w:val="28"/>
          <w:szCs w:val="28"/>
        </w:rPr>
        <w:t xml:space="preserve">проведения Дня памяти и скорби в 2022 году </w:t>
      </w:r>
    </w:p>
    <w:p>
      <w:pPr>
        <w:pStyle w:val="Style20"/>
        <w:spacing w:lineRule="atLeast" w:line="0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Камышловском городском округе </w:t>
      </w:r>
    </w:p>
    <w:p>
      <w:pPr>
        <w:pStyle w:val="Style20"/>
        <w:spacing w:lineRule="atLeast" w:line="0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8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00"/>
        <w:gridCol w:w="1258"/>
        <w:gridCol w:w="1622"/>
        <w:gridCol w:w="3420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п.п.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и время проведения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Почетный караул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9.45- 10.30 часов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Аллея славы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Вильд С.А., директор Муниципального автономного общеобразовательного учреждения «Школа №1» Камышловского городского округа имени Героя Советского Союза Бориса Самуиловича Семёнова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sz w:val="28"/>
                <w:szCs w:val="28"/>
                <w:shd w:fill="FFFFFF" w:val="clear"/>
              </w:rPr>
              <w:t>Возложение венков и цветов к памятникам воинам</w:t>
            </w:r>
          </w:p>
          <w:p>
            <w:pPr>
              <w:pStyle w:val="Style20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  <w:shd w:fill="FFFFFF" w:val="clear"/>
              </w:rPr>
              <w:t>России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 часов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Аллея славы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Канева М.Н., директор Автономного муниципального учреждения культуры Камышловского городского округа «Центр культуры и досуга»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Поэтический марафон «Реквием»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10.30 часов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Аллея славы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Лавренцева М.Э., директор Муниципального бюджетного учреждения «Камышловская централизованная библиотечная система»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sz w:val="28"/>
                <w:szCs w:val="28"/>
                <w:shd w:fill="FFFFFF" w:val="clear"/>
              </w:rPr>
              <w:t>Сигнал сирены в память о жертвах Великой Отечественной войны</w:t>
            </w:r>
          </w:p>
          <w:p>
            <w:pPr>
              <w:pStyle w:val="Style20"/>
              <w:spacing w:lineRule="atLeast" w: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14.15 часов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Предприятия, организации города, частный и общественный транспорт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Удалов А.В., начальник отдела гражданской обороны и пожарной безопасности администрации Камышловского городского округа 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Возложение цветов к памятнику тружеников тыла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Сквер напротив здания Центр культуры и досуга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Канева М.Н., директор Автономного муниципального учреждения культуры Камышловского городского округа «Центр культуры и досуга»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spacing w:lineRule="atLeast" w: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Акция «Свеча памяти»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21.30</w:t>
            </w:r>
          </w:p>
          <w:p>
            <w:pPr>
              <w:pStyle w:val="Style20"/>
              <w:spacing w:lineRule="atLeast" w:line="0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часов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площадь-аллея славы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tLeast" w: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Канева М.Н., директор Автономного муниципального учреждения культуры Камышловского городского округа «Центр культуры и досуга»</w:t>
            </w:r>
          </w:p>
        </w:tc>
      </w:tr>
    </w:tbl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560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4">
    <w:name w:val="Heading 4"/>
    <w:basedOn w:val="Style20"/>
    <w:next w:val="Style20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0"/>
    <w:next w:val="Style20"/>
    <w:qFormat/>
    <w:pPr>
      <w:keepNext w:val="true"/>
      <w:keepLines/>
      <w:numPr>
        <w:ilvl w:val="5"/>
        <w:numId w:val="1"/>
      </w:numPr>
      <w:suppressAutoHyphens w:val="true"/>
      <w:spacing w:before="200" w:after="200"/>
      <w:outlineLvl w:val="5"/>
    </w:pPr>
    <w:rPr>
      <w:rFonts w:ascii="Cambria" w:hAnsi="Cambria"/>
      <w:i/>
      <w:iCs/>
      <w:color w:val="243F60"/>
    </w:rPr>
  </w:style>
  <w:style w:type="character" w:styleId="Style12">
    <w:name w:val="Основной шрифт абзаца"/>
    <w:qFormat/>
    <w:rPr/>
  </w:style>
  <w:style w:type="character" w:styleId="41">
    <w:name w:val="Заголовок 4 Знак"/>
    <w:basedOn w:val="Style12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>
    <w:name w:val="Основной текст с отступом Знак"/>
    <w:basedOn w:val="Style12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4">
    <w:name w:val="Текст выноски Знак"/>
    <w:basedOn w:val="Style12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61">
    <w:name w:val="Заголовок 6 Знак"/>
    <w:basedOn w:val="Style12"/>
    <w:qFormat/>
    <w:rPr>
      <w:rFonts w:ascii="Cambria" w:hAnsi="Cambria" w:eastAsia="Times New Roman" w:cs="Times New Roman"/>
      <w:i/>
      <w:iCs/>
      <w:color w:val="243F60"/>
      <w:sz w:val="20"/>
      <w:szCs w:val="20"/>
      <w:lang w:eastAsia="ru-RU"/>
    </w:rPr>
  </w:style>
  <w:style w:type="character" w:styleId="2">
    <w:name w:val="Основной текст 2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Основной текст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before="0" w:after="12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720"/>
      <w:jc w:val="center"/>
    </w:pPr>
    <w:rPr>
      <w:b/>
      <w:sz w:val="28"/>
    </w:rPr>
  </w:style>
  <w:style w:type="paragraph" w:styleId="42">
    <w:name w:val="Основной текст (4)"/>
    <w:basedOn w:val="Style20"/>
    <w:qFormat/>
    <w:pPr>
      <w:widowControl w:val="false"/>
      <w:shd w:fill="FFFFFF" w:val="clear"/>
      <w:suppressAutoHyphens w:val="true"/>
      <w:spacing w:lineRule="atLeast" w:line="0" w:before="660" w:after="60"/>
      <w:jc w:val="center"/>
    </w:pPr>
    <w:rPr>
      <w:b/>
      <w:bCs/>
      <w:sz w:val="27"/>
      <w:szCs w:val="27"/>
    </w:rPr>
  </w:style>
  <w:style w:type="paragraph" w:styleId="Style22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0"/>
    <w:qFormat/>
    <w:pPr>
      <w:suppressAutoHyphens w:val="true"/>
      <w:spacing w:lineRule="auto" w:line="480" w:before="0" w:after="120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LibreOffice/7.0.6.2$Linux_X86_64 LibreOffice_project/00$Build-2</Application>
  <AppVersion>15.0000</AppVersion>
  <Pages>6</Pages>
  <Words>882</Words>
  <Characters>6201</Characters>
  <CharactersWithSpaces>7061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2022-06-03T04:09:00Z</dcterms:created>
  <dc:creator>user</dc:creator>
  <dc:description/>
  <dc:language>ru-RU</dc:language>
  <cp:lastModifiedBy/>
  <cp:lastPrinted>2022-06-07T16:17:17Z</cp:lastPrinted>
  <dcterms:modified xsi:type="dcterms:W3CDTF">2022-06-07T16:18:35Z</dcterms:modified>
  <cp:revision>5</cp:revision>
  <dc:subject/>
  <dc:title/>
</cp:coreProperties>
</file>