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3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30</w:t>
      </w:r>
      <w:r>
        <w:rPr>
          <w:rFonts w:ascii="Liberation Serif" w:hAnsi="Liberation Serif"/>
          <w:b/>
          <w:sz w:val="28"/>
          <w:szCs w:val="28"/>
        </w:rPr>
        <w:t xml:space="preserve">.06.2021  N </w:t>
      </w:r>
      <w:r>
        <w:rPr>
          <w:rFonts w:ascii="Liberation Serif" w:hAnsi="Liberation Serif"/>
          <w:b/>
          <w:sz w:val="28"/>
          <w:szCs w:val="28"/>
        </w:rPr>
        <w:t>452</w:t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color w:val="000000"/>
        </w:rPr>
        <w:t>О подготовке и реализации бюджетных инвестиций в объект капитального строительства «</w:t>
      </w:r>
      <w:r>
        <w:rPr>
          <w:rStyle w:val="Style13"/>
          <w:rFonts w:ascii="Liberation Serif" w:hAnsi="Liberation Serif"/>
          <w:i w:val="false"/>
        </w:rPr>
        <w:t xml:space="preserve">Строительство блочно-модульной котельной, мощность 8 мВт, расположенной по адресу: ул. Дзержинского,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</w:rPr>
        <w:t>3 «а» со строительством наружной тепловой сети от ТК ¼ до ВТК 1 к котельной по адресу: ул. Северная, 53</w:t>
      </w:r>
      <w:r>
        <w:rPr>
          <w:rStyle w:val="Style13"/>
          <w:rFonts w:ascii="Liberation Serif" w:hAnsi="Liberation Serif"/>
          <w:i w:val="false"/>
          <w:color w:val="000000"/>
        </w:rPr>
        <w:t xml:space="preserve">»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с Федеральн</w:t>
      </w:r>
      <w:r>
        <w:rPr>
          <w:rStyle w:val="611pt"/>
          <w:rFonts w:eastAsia="Sylfaen" w:cs="Liberation Serif" w:ascii="Liberation Serif" w:hAnsi="Liberation Serif"/>
          <w:sz w:val="28"/>
          <w:szCs w:val="28"/>
        </w:rPr>
        <w:t>ым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 законом </w:t>
      </w: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Российской Федерации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с постановлением администрации Камышловского городского округа от 09.03.2021 № 158 «О Порядках принятия решений о подготовке и реализации бюджетных инвестиций в объекты муниципальной собственности Камышловского городского округа и осуществления указанных бюджетных инвестиций за счет средств местного бюджета», Устава Камышловского городского округа, администрация Камышловского городского округа</w:t>
      </w:r>
    </w:p>
    <w:p>
      <w:pPr>
        <w:pStyle w:val="1"/>
        <w:shd w:fill="FFFFFF" w:val="clear"/>
        <w:spacing w:lineRule="exact" w:line="326" w:before="0" w:after="0"/>
        <w:ind w:left="0" w:right="20" w:hanging="0"/>
        <w:jc w:val="both"/>
        <w:rPr/>
      </w:pPr>
      <w:r>
        <w:rPr>
          <w:rStyle w:val="Style13"/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1</w:t>
      </w:r>
      <w:r>
        <w:rPr>
          <w:rStyle w:val="Style13"/>
          <w:rFonts w:cs="Times New Roman"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Предоставить бюджетные инвестиции за счет бюджета Камышловского городского округа на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объект капитального строительства</w:t>
      </w:r>
      <w:r>
        <w:rPr>
          <w:rStyle w:val="Style13"/>
          <w:rFonts w:cs="Times New Roman" w:ascii="Liberation Serif" w:hAnsi="Liberation Serif"/>
          <w:sz w:val="28"/>
          <w:szCs w:val="28"/>
        </w:rPr>
        <w:t>.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1.1.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Наименование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объекта капитального строительства: «</w:t>
      </w:r>
      <w:r>
        <w:rPr>
          <w:rStyle w:val="Style13"/>
          <w:rFonts w:cs="Times New Roman" w:ascii="Liberation Serif" w:hAnsi="Liberation Serif"/>
          <w:sz w:val="28"/>
          <w:szCs w:val="28"/>
        </w:rPr>
        <w:t>Строительство блочно-модульной котельной, мощность 8 мВт, расположенной по адресу: ул. Дзержинского, 3 «а» со строительством наружной тепловой сети от ТК ¼ до ВТК 1 к котельной по адресу: ул. Северная, 53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».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1.2. </w:t>
      </w:r>
      <w:r>
        <w:rPr>
          <w:rFonts w:cs="Times New Roman" w:ascii="Liberation Serif" w:hAnsi="Liberation Serif"/>
          <w:sz w:val="28"/>
          <w:szCs w:val="28"/>
        </w:rPr>
        <w:t>Направление инвестирования: строительство.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1.3. </w:t>
      </w:r>
      <w:r>
        <w:rPr>
          <w:rFonts w:cs="Times New Roman" w:ascii="Liberation Serif" w:hAnsi="Liberation Serif"/>
          <w:sz w:val="28"/>
          <w:szCs w:val="28"/>
        </w:rPr>
        <w:t>Главный распорядитель средств местного бюджета – Администрация Камышловского городского округа.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1.4. </w:t>
      </w:r>
      <w:r>
        <w:rPr>
          <w:rFonts w:cs="Times New Roman" w:ascii="Liberation Serif" w:hAnsi="Liberation Serif"/>
          <w:sz w:val="28"/>
          <w:szCs w:val="28"/>
        </w:rPr>
        <w:t>Организация, которой предоставляются бюджетные инвестиции - Муниципальное казенное учреждение «Центр обеспечения деятельности администрации Камышловского городского округа».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1.5.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Предполагаемый срок ввода в эксплуатацию объекта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капитального строительства – 2023 год.</w:t>
      </w:r>
    </w:p>
    <w:p>
      <w:p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1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.6.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Стоимость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объекта капитального строительства составляет                        91 000 000 рублей.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556" w:footer="1134" w:bottom="1407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1"/>
        <w:shd w:fill="FFFFFF" w:val="clear"/>
        <w:suppressAutoHyphens w:val="true"/>
        <w:spacing w:lineRule="exact" w:line="326" w:before="0" w:after="0"/>
        <w:ind w:left="0" w:right="57" w:firstLine="737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1.7.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Общий (предельный) объем бюджетных инвестиций с разбивкой по годам (в текущих ценах):</w:t>
      </w:r>
    </w:p>
    <w:p>
      <w:pPr>
        <w:pStyle w:val="ConsPlusNonformat"/>
        <w:tabs>
          <w:tab w:val="clear" w:pos="708"/>
        </w:tabs>
        <w:ind w:left="567" w:right="0" w:hanging="0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–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2021 год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– 1 000 000 руб. Выполнение строительно-монтажных и пуско-наладочных работ 1-й очереди;</w:t>
      </w:r>
    </w:p>
    <w:p>
      <w:pPr>
        <w:pStyle w:val="ConsPlusNonformat"/>
        <w:tabs>
          <w:tab w:val="clear" w:pos="708"/>
        </w:tabs>
        <w:ind w:left="567" w:right="0" w:hanging="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–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2022 год – 20 000 000 руб. Выполнение строительно-монтажных и пуско-наладочных работ 1-й и 2-й очереди;</w:t>
      </w:r>
    </w:p>
    <w:p>
      <w:pPr>
        <w:pStyle w:val="ConsPlusNonformat"/>
        <w:tabs>
          <w:tab w:val="clear" w:pos="708"/>
        </w:tabs>
        <w:ind w:left="567" w:right="0" w:hanging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– </w:t>
      </w:r>
      <w:r>
        <w:rPr>
          <w:rFonts w:cs="Times New Roman" w:ascii="Liberation Serif" w:hAnsi="Liberation Serif"/>
          <w:color w:val="000000"/>
          <w:sz w:val="28"/>
          <w:szCs w:val="28"/>
        </w:rPr>
        <w:t>2023 год – 70 000 000 руб. Выполнение строительно-монтажных и пуско-наладочных работ 1-й и 2-й очереди.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color w:val="000000"/>
          <w:sz w:val="28"/>
          <w:szCs w:val="28"/>
        </w:rPr>
        <w:t xml:space="preserve">2. </w:t>
      </w:r>
      <w:r>
        <w:rPr>
          <w:rStyle w:val="Style13"/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fill="FFFFFF" w:val="clear"/>
        <w:tabs>
          <w:tab w:val="clear" w:pos="708"/>
          <w:tab w:val="left" w:pos="684" w:leader="none"/>
        </w:tabs>
        <w:spacing w:lineRule="auto" w:line="24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3.  Контроль за исполнением настоящего постановления оставляю за собой.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</w:p>
    <w:p>
      <w:pPr>
        <w:pStyle w:val="Normal"/>
        <w:widowControl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Камышловского городского округа                         </w:t>
        <w:tab/>
        <w:t xml:space="preserve">                     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eastAsia="ru-RU"/>
        </w:rPr>
        <w:t>Е.А. Бессонов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1134" w:top="556" w:footer="1134" w:bottom="14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9LVL1">
    <w:name w:val="WW_CharLFO9LVL1"/>
    <w:qFormat/>
    <w:rPr>
      <w:color w:val="000000"/>
    </w:rPr>
  </w:style>
  <w:style w:type="character" w:styleId="WWCharLFO9LVL2">
    <w:name w:val="WW_CharLFO9LVL2"/>
    <w:qFormat/>
    <w:rPr>
      <w:rFonts w:ascii="Times New Roman" w:hAnsi="Times New Roman" w:cs="Times New Roman"/>
      <w:color w:val="auto"/>
    </w:rPr>
  </w:style>
  <w:style w:type="character" w:styleId="WWCharLFO9LVL3">
    <w:name w:val="WW_CharLFO9LVL3"/>
    <w:qFormat/>
    <w:rPr>
      <w:rFonts w:ascii="Times New Roman" w:hAnsi="Times New Roman" w:cs="Times New Roman"/>
      <w:color w:val="auto"/>
    </w:rPr>
  </w:style>
  <w:style w:type="character" w:styleId="WWCharLFO9LVL4">
    <w:name w:val="WW_CharLFO9LVL4"/>
    <w:qFormat/>
    <w:rPr>
      <w:rFonts w:ascii="Times New Roman" w:hAnsi="Times New Roman" w:cs="Times New Roman"/>
      <w:color w:val="auto"/>
    </w:rPr>
  </w:style>
  <w:style w:type="character" w:styleId="WWCharLFO9LVL5">
    <w:name w:val="WW_CharLFO9LVL5"/>
    <w:qFormat/>
    <w:rPr>
      <w:rFonts w:ascii="Times New Roman" w:hAnsi="Times New Roman" w:cs="Times New Roman"/>
      <w:color w:val="auto"/>
    </w:rPr>
  </w:style>
  <w:style w:type="character" w:styleId="WWCharLFO9LVL6">
    <w:name w:val="WW_CharLFO9LVL6"/>
    <w:qFormat/>
    <w:rPr>
      <w:rFonts w:ascii="Times New Roman" w:hAnsi="Times New Roman" w:cs="Times New Roman"/>
      <w:color w:val="auto"/>
    </w:rPr>
  </w:style>
  <w:style w:type="character" w:styleId="WWCharLFO9LVL7">
    <w:name w:val="WW_CharLFO9LVL7"/>
    <w:qFormat/>
    <w:rPr>
      <w:rFonts w:ascii="Times New Roman" w:hAnsi="Times New Roman" w:cs="Times New Roman"/>
      <w:color w:val="auto"/>
    </w:rPr>
  </w:style>
  <w:style w:type="character" w:styleId="WWCharLFO9LVL8">
    <w:name w:val="WW_CharLFO9LVL8"/>
    <w:qFormat/>
    <w:rPr>
      <w:rFonts w:ascii="Times New Roman" w:hAnsi="Times New Roman" w:cs="Times New Roman"/>
      <w:color w:val="auto"/>
    </w:rPr>
  </w:style>
  <w:style w:type="character" w:styleId="WWCharLFO9LVL9">
    <w:name w:val="WW_CharLFO9LVL9"/>
    <w:qFormat/>
    <w:rPr>
      <w:rFonts w:ascii="Times New Roman" w:hAnsi="Times New Roman" w:cs="Times New Roman"/>
      <w:color w:val="auto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List"/>
    <w:basedOn w:val="Style23"/>
    <w:pPr>
      <w:suppressAutoHyphens w:val="true"/>
    </w:pPr>
    <w:rPr>
      <w:rFonts w:cs="Lucida Sans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LibreOffice/6.3.4.2$Windows_X86_64 LibreOffice_project/60da17e045e08f1793c57c00ba83cdfce946d0aa</Application>
  <Pages>2</Pages>
  <Words>326</Words>
  <CharactersWithSpaces>2631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2021-06-22T06:04:00Z</dcterms:created>
  <dc:creator>Семёнова Лариса</dc:creator>
  <dc:description/>
  <dc:language>ru-RU</dc:language>
  <cp:lastModifiedBy/>
  <cp:lastPrinted>2021-06-30T14:22:36Z</cp:lastPrinted>
  <dcterms:modified xsi:type="dcterms:W3CDTF">2021-06-30T14:25:38Z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