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7"/>
        <w:bidi w:val="0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bidi w:val="0"/>
        <w:spacing w:before="0" w:after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7"/>
        <w:bidi w:val="0"/>
        <w:spacing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7"/>
        <w:spacing w:lineRule="auto" w:line="240" w:before="0" w:after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Style w:val="Style18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от 0</w:t>
      </w:r>
      <w:r>
        <w:rPr>
          <w:rStyle w:val="Style18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3</w:t>
      </w:r>
      <w:r>
        <w:rPr>
          <w:rStyle w:val="Style18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.02.2022 N 8</w:t>
      </w:r>
      <w:r>
        <w:rPr>
          <w:rStyle w:val="Style18"/>
          <w:rFonts w:eastAsia="Times New Roman" w:cs="Liberation Serif;Times New Roman" w:ascii="Liberation Serif" w:hAnsi="Liberation Serif"/>
          <w:b/>
          <w:sz w:val="28"/>
          <w:szCs w:val="28"/>
          <w:lang w:eastAsia="ru-RU"/>
        </w:rPr>
        <w:t>8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Liberation Serif" w:hAnsi="Liberation Serif"/>
          <w:i w:val="false"/>
          <w:i w:val="false"/>
          <w:iCs w:val="false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Об утверждении Примерного положения «Об оплате труда работников муниципального казенного учреждения «Центр обеспечения деятельности городской системы образования»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Liberation Serif" w:hAnsi="Liberation Serif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соответствии с Трудовым кодексом Российской Федерации, постановлением главы Камышловского городского округа от 03.08.2010 № 1307 «О введении новых систем оплаты труда работников муниципальных бюджетных, автономных и казенных учреждений Камышловского городского округа» (с изменениями), в целях совершенствования условий оплаты труда работников</w:t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муниципального казенного учреждения «Центр обеспечения деятельности городской системы образования», администрация Камышловского городского округа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1. Утвердить Примерное положение об оплате труда работников муниципального казенного учреждения «Центр обеспечения деятельности городской системы образования» 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(прилагается)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  Признать утратившим силу Положение «Об оплате труда работников муниципального казенного учреждения «Центр обеспечения деятельности городской системы образования», утвержденное постановлением главы Камышловского городского округа от 06.05.2014 года № 749.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20"/>
        <w:jc w:val="both"/>
        <w:outlineLvl w:val="0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Разместить настоящее постановление на официальном сайте Камышловского городского округа в информационно-телекоммуникационной сети Интернет (</w:t>
      </w:r>
      <w:r>
        <w:rPr>
          <w:rFonts w:eastAsia="Times New Roman" w:cs="Times New Roman" w:ascii="Liberation Serif" w:hAnsi="Liberation Serif"/>
          <w:sz w:val="28"/>
          <w:szCs w:val="28"/>
          <w:lang w:val="en-US" w:eastAsia="ru-RU"/>
        </w:rPr>
        <w:t>www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val="en-US" w:eastAsia="ru-RU"/>
        </w:rPr>
        <w:t>gorod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-</w:t>
      </w:r>
      <w:r>
        <w:rPr>
          <w:rFonts w:eastAsia="Times New Roman" w:cs="Times New Roman" w:ascii="Liberation Serif" w:hAnsi="Liberation Serif"/>
          <w:sz w:val="28"/>
          <w:szCs w:val="28"/>
          <w:lang w:val="en-US" w:eastAsia="ru-RU"/>
        </w:rPr>
        <w:t>kamyshlov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.</w:t>
      </w:r>
      <w:r>
        <w:rPr>
          <w:rFonts w:eastAsia="Times New Roman" w:cs="Times New Roman" w:ascii="Liberation Serif" w:hAnsi="Liberation Serif"/>
          <w:sz w:val="28"/>
          <w:szCs w:val="28"/>
          <w:lang w:val="en-US" w:eastAsia="ru-RU"/>
        </w:rPr>
        <w:t>ru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4. Контроль за исполнением настоящего постановления возложить на </w:t>
      </w:r>
      <w:r>
        <w:rPr>
          <w:rFonts w:eastAsia="Times New Roman" w:cs="Times New Roman" w:ascii="Liberation Serif" w:hAnsi="Liberation Serif"/>
          <w:sz w:val="28"/>
          <w:szCs w:val="28"/>
          <w:lang w:eastAsia="ru-RU" w:bidi="ru-RU"/>
        </w:rPr>
        <w:t>заместителя главы администрации Камышловского городского округа Соболеву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А.А.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Глава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Камышловского городского округа                                           А.В. Половников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819" w:right="0" w:hanging="0"/>
        <w:jc w:val="left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УТВЕРЖДЕНО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819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дминистрации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819" w:right="0" w:hanging="0"/>
        <w:jc w:val="left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Камышловского городского округа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81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03.02.2022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88</w:t>
      </w:r>
    </w:p>
    <w:p>
      <w:pPr>
        <w:pStyle w:val="Normal"/>
        <w:tabs>
          <w:tab w:val="clear" w:pos="708"/>
          <w:tab w:val="left" w:pos="5835" w:leader="none"/>
        </w:tabs>
        <w:rPr/>
      </w:pPr>
      <w:r>
        <w:rPr/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ПРИМЕРНОЕ 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ОБ ОПЛАТЕ ТРУДА РАБОТНИКОВ   МУНИЦИПАЛЬНОГО КАЗЕННОГО УЧРЕЖДЕНИЯ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bCs/>
          <w:sz w:val="28"/>
          <w:szCs w:val="28"/>
          <w:lang w:eastAsia="ru-RU"/>
        </w:rPr>
        <w:t>«ЦЕНТР ОБЕСПЕЧЕНИЯ ДЕЯТЕЛЬНОСТИ ГОРОДСКОЙ СИСТЕМЫ ОБРАЗОВАНИЯ»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1. ОБЩИЕ ПОЛОЖЕНИЯ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cs="Calibri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1. Настоящее Примерное положение разработано</w:t>
      </w:r>
      <w:r>
        <w:rPr>
          <w:rFonts w:cs="Calibri"/>
        </w:rPr>
        <w:t xml:space="preserve"> в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соответствии с Трудовым кодексом Российской Федерации, постановлением главы Камышловского городского округа от 03.08.2010г. № 1307 «О введении новых систем оплаты труда работников муниципальных бюджетных, автономных и казенных учреждений Камышловского городского округа» (с изменениями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)</w:t>
      </w:r>
      <w:r>
        <w:rPr>
          <w:rFonts w:cs="Times New Roman" w:ascii="Times New Roman" w:hAnsi="Times New Roman"/>
          <w:sz w:val="28"/>
          <w:szCs w:val="28"/>
        </w:rPr>
        <w:t xml:space="preserve"> и включает в себя: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минимальные размеры окладов (должностных окладов), ставок заработной платы по профессиональным квалификационным группам;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перечень, условия и порядок осуществления выплат компенсационного характера и стимулирующего характера;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условия оплаты труда заместителей руководителя и главного бухгалтера.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2.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Система оплаты труда работников м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  <w:shd w:fill="FFFFFF" w:val="clear"/>
        </w:rPr>
        <w:t>униципального казенного учреждения «Центр обеспечения деятельности городской системы образования» (далее – Учреждение) устанавливается коллективным договором, соглашением, локальным нормативным актом в соответствии с трудовым законодательством Российской Федерации, иными нормативными правовыми актами Российской Федерации, содержащими нормы трудового права, с учетом: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1) единого тарифно-квалификационного справочника работ и профессий рабочих;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2) единого квалификационного справочника должностей руководителей, специалистов и служащих или профессиональных стандартов;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3) государственных гарантий по оплате труда, предусмотренных трудовым законодательством;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4) профессиональных квалификационных групп;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5) перечня видов выплат компенсационного характера;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6) перечня видов выплат стимулирующего характера;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7) единых рекомендаций Российской трехсторонней комиссии по регулированию социально-трудовых отношений;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8) настоящего примерного положения;</w:t>
      </w:r>
    </w:p>
    <w:p>
      <w:pPr>
        <w:pStyle w:val="Normal"/>
        <w:widowControl w:val="false"/>
        <w:spacing w:lineRule="auto" w:line="240" w:before="0" w:after="0"/>
        <w:ind w:firstLine="53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9) мнения выборного органа первичной профсоюзной организации или при его отсутствии иного представительного органа работников.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Фонд оплаты труда Учреждения утверждается главным распорядителем бюджетных средств на соответствующий финансовый год.</w:t>
      </w:r>
    </w:p>
    <w:p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4. Штатное расписание Учреждения утверждается руководителем Учреждения по согласованию с Комитетом по образованию, культуре, спорту и делам молодежи администрации Камышловского городского округа, в пределах утвержденного на соответствующий финансовый год фонда оплаты труда.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5. Должности работников, включаемые в штатное расписание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Учреждения</w:t>
      </w:r>
      <w:r>
        <w:rPr>
          <w:rFonts w:cs="Times New Roman" w:ascii="Times New Roman" w:hAnsi="Times New Roman"/>
          <w:sz w:val="28"/>
          <w:szCs w:val="28"/>
        </w:rPr>
        <w:t xml:space="preserve">, должны определяться в соответствии с Уставом учреждения и соответствовать Единому квалификационному справочнику должностей руководителей, специалистов и служащих,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утвержденного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</w:t>
      </w:r>
      <w:r>
        <w:rPr>
          <w:rFonts w:cs="Times New Roman" w:ascii="Times New Roman" w:hAnsi="Times New Roman"/>
          <w:sz w:val="28"/>
          <w:szCs w:val="28"/>
        </w:rPr>
        <w:t xml:space="preserve"> Единого тарифно – квалификационного справочника работ и профессий рабочих, утвержденного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Приказом Министерства здравоохранения и социального развития Российской Федерации от 29.05.2008 № 248н  «Об утверждении профессиональных квалификационных групп общеотраслевых должностей по профессий рабочих» и </w:t>
      </w:r>
      <w:r>
        <w:rPr>
          <w:rFonts w:cs="Times New Roman" w:ascii="Times New Roman" w:hAnsi="Times New Roman"/>
          <w:sz w:val="28"/>
          <w:szCs w:val="28"/>
        </w:rPr>
        <w:t xml:space="preserve">Профессиональная квалификационная группа должностей работников образования, утвержденного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Приказом Министерства здравоохранения и социального развития РФ от 5 мая 2008 г. № 216н «Об утверждении профессиональных квалификационных групп должностей работников образования».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Размеры окладов (должностных окладов), ставок заработной платы работников Учреждения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а также с учетом сложности и объема выполняемой работы в соответствии с настоящим примерным положением.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служащих, работников, замещающих должности, не являющиеся должностями муниципальной службы Камышловского городского округа, и работников, осуществляющих профессиональную деятельность по профессиям рабочих, отраслевого органа администрации Камышловского городского округа, которому подведомственно Учреждение.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8. Расчетный среднемесячный уровень оплаты труда муниципальных служащих, работников, замещающих должности, не являющиеся должностями муниципальной службы Камышловского городского округа отраслевого органа администрации  Камышловского городского округа, которому подведомственно  Учреждение и расчетный среднемесячный уровень заработной платы работников Учреждения рассчитывается главным распорядителем бюджетных средств  в соответствии с постановлением администрации Камышловского городского округа от 26.11.2019г. № 1038 «О внесении изменений в постановление главы Камышловского городского округа от 03.08.2010г. № 1307 «О системах оплаты труда работников муниципальных бюджетных, автономных и казенных учреждений Камышловского городского округа». </w:t>
      </w:r>
    </w:p>
    <w:p>
      <w:pPr>
        <w:pStyle w:val="ConsPlusNormal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9. </w:t>
      </w:r>
      <w:r>
        <w:rPr>
          <w:sz w:val="28"/>
          <w:szCs w:val="28"/>
        </w:rPr>
        <w:t xml:space="preserve">Фонд оплаты труда работников Учреждения формируется на календарный год исходя из объема бюджетных ассигнований на обеспечение выполнения функций Учреждения в части оплаты труда работников Учреждения. </w:t>
      </w:r>
    </w:p>
    <w:p>
      <w:pPr>
        <w:pStyle w:val="ConsPlus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     </w:t>
      </w:r>
      <w:r>
        <w:rPr>
          <w:sz w:val="28"/>
          <w:szCs w:val="28"/>
          <w:shd w:fill="FFFFFF" w:val="clear"/>
        </w:rPr>
        <w:t>10. Размеры должностных окладов, выплат стимулирующего и компенсационного характера надбавок устанавливаются в пределах фонда оплаты труда Учреждения.</w:t>
      </w:r>
    </w:p>
    <w:p>
      <w:pPr>
        <w:pStyle w:val="ConsPlusNormal"/>
        <w:jc w:val="both"/>
        <w:rPr>
          <w:sz w:val="28"/>
          <w:szCs w:val="28"/>
        </w:rPr>
      </w:pPr>
      <w:r>
        <w:rPr>
          <w:color w:val="333333"/>
          <w:sz w:val="28"/>
          <w:szCs w:val="28"/>
          <w:shd w:fill="FFFFFF" w:val="clear"/>
        </w:rPr>
        <w:t xml:space="preserve">     </w:t>
      </w:r>
      <w:r>
        <w:rPr>
          <w:color w:val="333333"/>
          <w:sz w:val="28"/>
          <w:szCs w:val="28"/>
          <w:shd w:fill="FFFFFF" w:val="clear"/>
        </w:rPr>
        <w:t>11</w:t>
      </w:r>
      <w:r>
        <w:rPr>
          <w:sz w:val="28"/>
          <w:szCs w:val="28"/>
          <w:shd w:fill="FFFFFF" w:val="clear"/>
        </w:rPr>
        <w:t>. Оплата труда работников Учреждения осуществляется за фактически отработанное время исходя из установленного должностного оклада, выплат компенсационного и стимулирующего характера, порядок и условия установления которых предусмотрены настоящим Положением. </w:t>
      </w:r>
    </w:p>
    <w:p>
      <w:pPr>
        <w:pStyle w:val="ConsPlusNormal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shd w:fill="FFFFFF" w:val="clear"/>
        </w:rPr>
        <w:t xml:space="preserve">     </w:t>
      </w:r>
      <w:r>
        <w:rPr>
          <w:sz w:val="28"/>
          <w:szCs w:val="28"/>
          <w:shd w:fill="FFFFFF" w:val="clear"/>
        </w:rPr>
        <w:t>12. Оплата труда работников, занятых по совместительству, а также на условиях неполного рабочего времени, производится пропорционально отработанному времени. Определение размеров заработной платы по основной должности, а также по должности, занимаемой по совместительству, производится раздельно по каждой из должностей.</w:t>
      </w:r>
    </w:p>
    <w:p>
      <w:pPr>
        <w:pStyle w:val="ConsPlusNormal"/>
        <w:spacing w:lineRule="auto" w:line="360"/>
        <w:jc w:val="both"/>
        <w:rPr>
          <w:rFonts w:ascii="Liberation Serif" w:hAnsi="Liberation Serif"/>
          <w:color w:val="FF0000"/>
          <w:sz w:val="28"/>
          <w:szCs w:val="28"/>
        </w:rPr>
      </w:pPr>
      <w:r>
        <w:rPr>
          <w:rFonts w:ascii="Liberation Serif" w:hAnsi="Liberation Serif"/>
          <w:color w:val="FF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Глава 2. УСЛОВИЯ ОПРЕДЕЛЕНИЯ ОПЛАТЫ ТРУДА РАБОТНИКОВ УЧРЕЖДЕНИЯ.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13. Размеры окладов (должностных окладов), ставок заработной платы работников приведенные в настоящем Примерном положении являются минимальными. Учреждение имеет право производить корректировку указанных величин в сторону их повышения, исходя из объемов имеющегося финансирования.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14. Минимальные размеры окладов (должностных окладов) работников Учреждения, занимающих должности педагогических работников (далее - педагогические работники), устанавливаются на основе отнесения занимаемых ими должностей к профессиональным квалификационным </w:t>
      </w:r>
      <w:hyperlink r:id="rId3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 соответствии с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образования», приведены в </w:t>
      </w:r>
      <w:hyperlink w:anchor="P305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приложениях № 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 настоящему Примерному положению.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15. Минимальные размеры окладов (должностных окладов) работников занимающих общеотраслевые должности специалистов и служащих (далее – работники, занимающие общеотраслевые должности), устанавливаются на основе отнесения занимаемых ими должностей к профессиональным квалификационным </w:t>
      </w:r>
      <w:hyperlink r:id="rId4">
        <w:r>
          <w:rPr>
            <w:rFonts w:cs="Times New Roman" w:ascii="Times New Roman" w:hAnsi="Times New Roman"/>
            <w:color w:val="auto"/>
            <w:sz w:val="28"/>
            <w:szCs w:val="28"/>
            <w:u w:val="none"/>
          </w:rPr>
          <w:t>группам</w:t>
        </w:r>
      </w:hyperlink>
      <w:r>
        <w:rPr>
          <w:rFonts w:cs="Times New Roman" w:ascii="Times New Roman" w:hAnsi="Times New Roman"/>
          <w:sz w:val="28"/>
          <w:szCs w:val="28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служащих», приведены в приложении № 2 к настоящему Примерному положению.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16. Минимальные размеры окладов (должностных окладов) работников, осуществляющих деятельность по профессиям рабочих (далее – работники рабочих профессий), устанавливается на основе отнесения занимаемых ими профессий к соответствующим профессиональным квалификационным группам,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рабочих», в зависимости от присвоенных им квалификационных разрядов в соответствии с ЕТКС работ и профессий рабочих, приведены в приложении № 3 к настоящему Примерному положению.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17. С учетом условий и результатов труда педагогическим работникам, служащим, рабочим устанавливаются выплаты компенсационного и стимулирующего характера, предусмотренные главами 5 и 6 настоящего Примерного положения.</w:t>
      </w:r>
    </w:p>
    <w:p>
      <w:pPr>
        <w:pStyle w:val="Normal"/>
        <w:tabs>
          <w:tab w:val="clear" w:pos="708"/>
          <w:tab w:val="left" w:pos="3435" w:leader="none"/>
        </w:tabs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Normal"/>
        <w:tabs>
          <w:tab w:val="clear" w:pos="708"/>
          <w:tab w:val="left" w:pos="3435" w:leader="none"/>
        </w:tabs>
        <w:spacing w:lineRule="auto" w:line="240" w:before="0"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Глава 3. УСЛОВИЯ ОПЛАТЫ ТРУДА ЗАМЕСТИТЕЛЯ РУКОВОДИТЕЛЯ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И ГЛАВНОГО БУХГАЛТЕРА УЧРЕЖДЕНИЯ</w:t>
      </w:r>
    </w:p>
    <w:p>
      <w:pPr>
        <w:pStyle w:val="Normal"/>
        <w:spacing w:lineRule="auto" w:line="360" w:before="0" w:after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18. Заработная плата заместителя руководителя и главного бухгалтера состоит из должностного оклада, выплат компенсационного и стимулирующего характера.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19. Должностной оклад заместителя руководителя, главного бухгалтера Учреждения устанавливаются на 10 - 30 процентов ниже должностного оклада руководителя Учреждения. Другие условия оплаты труда указанных работников устанавливаются коллективными договорами, локальными актами Учреждения и трудовыми договорами.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20. Повышение должностного оклада руководителя не влечет за собой повышения должностного оклада заместителя руководителя, главного бухгалтера учреждения, если размер установленного ранее должностного оклада заместителя руководителя, главного бухгалтера находится в диапазоне 10 – 30 процентов ниже должностного оклада руководителя.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21. Выплаты компенсационного и стимулирующего характера устанавливаются заместителю руководителя и главному бухгалтеру Учреждения в процентах к должностному окладу или в абсолютных размерах, если иное не установлено федеральными законами и иными нормативными правовыми актами Российской Федерации, Свердловской области, Камышловского городского округа 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22. Размещение информации о рассчитываемой за календарный год среднемесячной заработной плате заместителя руководителя и главного бухгалтера в информационно-телекоммуникационной сети «Интернет» и представление указанными лицами данной информации осуществляются в соответствии с порядком, установленным Администрацией Камышловского городского округа.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1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Глава 4. КОМПЕНСАЦИОННЫЕ ВЫПЛАТЫ</w:t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1"/>
        <w:rPr>
          <w:rFonts w:ascii="Liberation Serif" w:hAnsi="Liberation Serif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23. Выплаты компенсационного характера, размеры и условия их осуществления устанавливаются коллективными договорами, соглашениями и локальными нормативными актами,</w:t>
      </w:r>
      <w:r>
        <w:rPr>
          <w:rFonts w:cs="Times New Roman" w:ascii="Times New Roman" w:hAnsi="Times New Roman"/>
          <w:color w:val="FF0000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в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соответствии с трудовым законодательством и нормативными правовыми актами, содержащими нормы трудового права.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24. Выплаты компенсационного характера устанавливаются к окладам (должностным окладам), ставкам заработной платы работникам Учреждения при наличии оснований для их выплаты в пределах фонда оплаты труда, утвержденного на соответствующий финансовый год.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25. Выплаты компенсационного характера устанавливаются к окладам (должностным окладам), ставкам заработной платы работников в процентах к окладу (должностным окладам), ставкам или в абсолютных размерах, если иное не установлено федеральными законами и иными нормативными правовыми актами</w:t>
      </w:r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Свердловской области, Камышловского городского округа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26. Для работников учреждения устанавливаются следующие выплаты компенсационного характера: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а) доплата за совмещение должностей;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б)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в) доплата за работу в ночное время;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г) оплата за работу в выходные и нерабочие праздничные дни, оплата сверхурочной работы.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д) выплаты работникам, занятым на тяжелых работах, работах с вредными и (или) опасными и иными особыми условиями труда;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е) выплаты за работу в местностях с особыми климатическими условиями.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27. </w:t>
      </w:r>
      <w:r>
        <w:rPr>
          <w:rFonts w:cs="Times New Roman" w:ascii="Times New Roman" w:hAnsi="Times New Roman"/>
          <w:sz w:val="28"/>
          <w:szCs w:val="28"/>
        </w:rPr>
        <w:t>Доплата за совмещение профессий (должностей) устанавливается работникам Учреждения при совмещении ими профессий (должностей) в соответствии со статьей 151 Трудового кодекса Российской Федерации.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28. Доплата за расширение зон обслуживания устанавливается работникам Учреждения при расширении зон обслуживания.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29. 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30. Размеры компенсационных выплат и порядок их устанавливается руководителем Учреждения самостоятельно в пределах фонда оплаты труда и закрепляются в локальном нормативном акте Учреждения, утвержденном руководителем Учреждения, с учетом мнения выборного органа первичной профсоюзной организации или иного представительного органа работников.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31. Размер выплаты конкретному работнику и срок данной выплаты устанавливается по соглашению сторон трудового договора с учетом содержания и (или) объема дополнительной работы, а также срока ее выполнения.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32. Всем работникам Учреждения выплачивается районный коэффициент к заработной плате за работу в местностях с особыми климатическими условиями, установленный Постановлением Совета Министров СССР от 21.05.1987 № 591 «О введении районных коэффициентов к заработной плате рабочих и служащих, для которых они не установлены, на Урале и в производственных отраслях в Северных и Восточных районах Казахской ССР».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33.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>
      <w:pPr>
        <w:pStyle w:val="Normal"/>
        <w:widowControl w:val="false"/>
        <w:tabs>
          <w:tab w:val="clear" w:pos="708"/>
          <w:tab w:val="left" w:pos="1095" w:leader="none"/>
        </w:tabs>
        <w:spacing w:lineRule="auto" w:line="360" w:before="0" w:after="0"/>
        <w:rPr>
          <w:rFonts w:ascii="Liberation Serif" w:hAnsi="Liberation Serif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Liberation Serif" w:hAnsi="Liberation Serif" w:eastAsiaTheme="minorEastAsia"/>
          <w:sz w:val="28"/>
          <w:szCs w:val="28"/>
          <w:lang w:eastAsia="ru-RU"/>
        </w:rPr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360" w:before="0" w:after="0"/>
        <w:ind w:left="0" w:hanging="0"/>
        <w:jc w:val="center"/>
        <w:outlineLvl w:val="1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bookmarkStart w:id="1" w:name="Par169"/>
      <w:bookmarkEnd w:id="1"/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Глава 5. ВЫПЛАТЫ СТИМУЛИРУЮЩЕГО ХАРАКТЕРА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eastAsiaTheme="minorEastAsia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34. Выплаты стимулирующего характера, размеры и условия их осуществления устанавливаются коллективными договорами, соглашениями и локальными нормативными актами, трудовыми договорами с учетом разрабатываемых в Учреждении показателей и критериев оценки эффективности труда работников Учреждения в пределах бюджетных ассигнований на оплату труда работников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Размер выплат стимулирующего характера определяется с учетом результатов деятельности муниципального Учреждения.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Выплаты стимулирующего характера устанавливаются: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1) за интенсивность и высокие результаты работы;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2) за качество выполняемых работ;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3) по итогам работы в виде премиальных выплат.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35. Обязательными условиями для осуществления выплат стимулирующего характера являются: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1) успешное и добросовестное исполнение профессиональных и должностных обязанностей работником в соответствующем периоде;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2) инициатива, творчество и применение в работе современных форм и методов организации труда;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3) участие в течение соответствующего периода в выполнении важных работ, мероприятий.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36. Конкретные показатели (критерии) оценки эффективности труда устанавливаются коллективными договорами, соглашениями и локальными нормативными актами и отражают количественную и (или) качественную оценку трудовой деятельности работников.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37. К выплатам за интенсивность и высокие результаты работы относятся выплаты за сложность, напряженность, особый режим и график работы, повышающие эффективность деятельности, авторитет и имидж Учреждения.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38. Размер выплат за интенсивность и высокие результаты работы устанавливается работнику с учетом фактических результатов его работы и интенсивности его труда на определенный срок в порядке, установленном коллективным договором, локальным нормативным актом образовательной организации, трудовым договором.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39. Выплаты за качество выполняемых работ устанавливаются с целью материального стимулирования профессиональной подготовленности работников, высокой оценки, полученной по результатам проведенной независимой оценки качества образования.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40. Размер выплат за качество выполняемых работ устанавливается работнику с учетом фактических результатов его работы на определенный срок в порядке, установленном коллективным договором, локальным нормативным актом образовательной организации, трудовым договором.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>
        <w:rPr>
          <w:color w:val="333333"/>
          <w:sz w:val="28"/>
          <w:szCs w:val="28"/>
        </w:rPr>
        <w:t xml:space="preserve">41. </w:t>
      </w:r>
      <w:r>
        <w:rPr>
          <w:sz w:val="28"/>
          <w:szCs w:val="28"/>
        </w:rPr>
        <w:t>Премия по итогам работы (за месяц, квартал, год) устанавливается с целью дополнительного поощрения работников Учреждения. Премирование производится в пределах средств, предусмотренных на оплату труда работников Учреждения.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42. Условия премирования работников Учреждения определяются в зависимости от показателей эффективности деятельности Учреждения.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43. В целях социальной защищенности работников Учреждения и поощрения их за достигнутые успехи, профессионализм и личный вклад в работу коллектива в пределах финансовых средств на оплату труда по решению руководителя учреждения применяется единовременное премирование работников Учреждения: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1) при объявлении благодарности Министерства образования и науки Российской Федерации;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2) при награждении Почетной грамотой Министерства образования и науки Российской Федерации, грамотой Главы Камышловского городского округа, грамотой Думы Камышловского городского округа;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3) при награждении государственными наградами и наградами Свердловской области;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4) в связи с празднованием профессиональных праздников;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6) в связи с праздничными днями и юбилейными датами (50, 55, 60 лет со дня рождения и последующие каждые 5 лет);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7) при увольнении в связи с уходом на страховую пенсию по старости;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8) 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44. Условия, порядок и размер единовременного премирования определяются локальным актом учреждения, принятым руководителем Учреждения с учетом обеспечения финансовыми средствами и мнения выборного органа первичной профсоюзной организации или при его отсутствии иного представительного органа работников образовательной организации.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45. Работодатели вправе, при наличии экономии финансовых средств на оплату труда, оказывать работникам материальную помощь.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     </w:t>
      </w: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 xml:space="preserve">46. Условия выплаты и размер материальной помощи устанавливаются локальным актом Учреждения, принятым руководителем Учреждения с учетом мнения выборного органа первичной профсоюзной организации или иного представительного органа работников учреждения, или (и) коллективным договором, соглашением.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" w:cs="Times New Roman" w:eastAsiaTheme="minorEastAsia"/>
          <w:sz w:val="28"/>
          <w:szCs w:val="28"/>
          <w:lang w:eastAsia="ru-RU"/>
        </w:rPr>
      </w:pPr>
      <w:r>
        <w:rPr>
          <w:rFonts w:eastAsia="" w:cs="Times New Roman" w:ascii="Times New Roman" w:hAnsi="Times New Roman" w:eastAsiaTheme="minorEastAsia"/>
          <w:sz w:val="28"/>
          <w:szCs w:val="28"/>
          <w:lang w:eastAsia="ru-RU"/>
        </w:rPr>
        <w:t>Материальная помощь выплачивается на основании заявления работника.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  <w:t>Приложение N 1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 w:eastAsia="Times New Roman" w:cs="Calibri"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sz w:val="28"/>
          <w:szCs w:val="28"/>
          <w:lang w:eastAsia="ru-RU"/>
        </w:rPr>
        <w:t>к Примерному положению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bookmarkStart w:id="2" w:name="P349"/>
      <w:bookmarkEnd w:id="2"/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>ПРОФЕССИОНАЛЬНАЯ КВАЛИФИКАЦИОННАЯ ГРУППА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8"/>
          <w:szCs w:val="28"/>
          <w:lang w:eastAsia="ru-RU"/>
        </w:rPr>
      </w:pPr>
      <w:r>
        <w:rPr>
          <w:rFonts w:eastAsia="Times New Roman" w:cs="Calibri" w:ascii="Liberation Serif" w:hAnsi="Liberation Serif"/>
          <w:b/>
          <w:sz w:val="28"/>
          <w:szCs w:val="28"/>
          <w:lang w:eastAsia="ru-RU"/>
        </w:rPr>
        <w:t>ДОЛЖНОСТЕЙ РАБОТНИКОВ ОБРАЗОВАНИЯ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widowControl w:val="false"/>
        <w:spacing w:lineRule="auto" w:line="240" w:before="0" w:after="0"/>
        <w:rPr>
          <w:rFonts w:ascii="Calibri" w:hAnsi="Calibri" w:eastAsia="Times New Roman" w:cs="Calibri"/>
          <w:szCs w:val="20"/>
          <w:lang w:eastAsia="ru-RU"/>
        </w:rPr>
      </w:pPr>
      <w:r>
        <w:rPr>
          <w:rFonts w:eastAsia="Times New Roman" w:cs="Calibri"/>
          <w:szCs w:val="20"/>
          <w:lang w:eastAsia="ru-RU"/>
        </w:rPr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64"/>
        <w:gridCol w:w="2437"/>
        <w:gridCol w:w="3345"/>
        <w:gridCol w:w="2323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работников образования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Минимальный размер должностного оклада, ставки заработной платы (рублей) </w:t>
            </w:r>
            <w:hyperlink w:anchor="P381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инструктор по труду; инструктор по физической культуре; музыкальный руководитель; старший вожатый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9710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инструктор-методист; концертмейстер; педагог дополнительного образования; педагог-организатор; социальный педагог; тренер-преподаватель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10527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воспитатель; мастер производственного обучения;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методист;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 педагог-психолог; старший инструктор-методист; старший педагог дополнительного образования; старший тренер-преподаватель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10527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преподаватель (кроме должностей преподавателей, отнесенных к профессорско-преподавательскому составу); преподаватель-организатор основ безопасности жизнедеятельности; руководитель физического воспитания; старший воспитатель;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старший методист;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 тьютор; учитель; учитель-дефектолог; учитель-логопед (логопед), педагог-библиотекарь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10883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bookmarkStart w:id="3" w:name="P381"/>
      <w:bookmarkEnd w:id="3"/>
      <w:r>
        <w:rPr>
          <w:rFonts w:eastAsia="Times New Roman" w:cs="Calibri" w:ascii="Liberation Serif" w:hAnsi="Liberation Serif"/>
          <w:sz w:val="24"/>
          <w:szCs w:val="24"/>
          <w:lang w:eastAsia="ru-RU"/>
        </w:rPr>
        <w:t>Приложение N 2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  <w:t>к Примерному положению</w:t>
      </w:r>
      <w:bookmarkStart w:id="4" w:name="P530"/>
      <w:bookmarkEnd w:id="4"/>
    </w:p>
    <w:p>
      <w:pPr>
        <w:pStyle w:val="Normal"/>
        <w:widowControl w:val="false"/>
        <w:spacing w:lineRule="auto" w:line="240" w:before="280" w:after="0"/>
        <w:jc w:val="center"/>
        <w:rPr>
          <w:rFonts w:ascii="Liberation Serif" w:hAnsi="Liberation Serif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4"/>
          <w:lang w:eastAsia="ru-RU"/>
        </w:rPr>
        <w:t>ПРОФЕССИОНАЛЬНАЯ КВАЛИФИКАЦИОННАЯ ГРУППА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4"/>
          <w:lang w:eastAsia="ru-RU"/>
        </w:rPr>
        <w:t>ОБЩЕОТРАСЛЕВЫХ ДОЛЖНОСТЕЙ РУКОВОДИТЕЛЕЙ, СПЕЦИАЛИСТОВ И СЛУЖАЩИХ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4"/>
          <w:lang w:eastAsia="ru-RU"/>
        </w:rPr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07"/>
        <w:gridCol w:w="2494"/>
        <w:gridCol w:w="3855"/>
        <w:gridCol w:w="1813"/>
      </w:tblGrid>
      <w:tr>
        <w:trPr>
          <w:trHeight w:val="1071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Профессиональные квалификационные группы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Минимальный размер должностного оклада (рублей) 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804" w:hRule="atLeast"/>
        </w:trPr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архивариус; дежурный (по выдаче справок, общежитию); делопроизводитель; калькулятор; кассир; комендант; машинистка; секретарь; секретарь-машинистка; экспедитор; экспедитор по перевозке грузов; паспортист; статистик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4772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служащих 1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5254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администратор; диспетчер; инспектор по кадрам; лаборант; секретарь незрячего специалиста; 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секретарь руководителя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 xml:space="preserve">; специалист по работе с молодежью; техник; </w:t>
            </w:r>
            <w:r>
              <w:rPr>
                <w:rFonts w:cs="Liberation Serif" w:ascii="Liberation Serif" w:hAnsi="Liberation Serif"/>
                <w:b/>
                <w:bCs/>
                <w:sz w:val="24"/>
                <w:szCs w:val="24"/>
              </w:rPr>
              <w:t>техник-программист</w:t>
            </w:r>
            <w:r>
              <w:rPr>
                <w:rFonts w:cs="Liberation Serif" w:ascii="Liberation Serif" w:hAnsi="Liberation Serif"/>
                <w:bCs/>
                <w:sz w:val="24"/>
                <w:szCs w:val="24"/>
              </w:rPr>
              <w:t>; техник по защите информации; техник по инвентаризации строений и сооружений; художник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5225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служащих 1 квалификационного уровня, по которым устанавливается производное должностное наименование "старший"; должности служащих 1 квалификационного уровня, по которым устанавливается II внутридолжностная категория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6574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служащих 1 квалификационного уровня, по которым устанавливается I внутридолжностная категория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7229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механик; должности служащих 1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7953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аналитик,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экономист; бухгалтер;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     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экономист по планированию</w:t>
            </w:r>
            <w:r>
              <w:rPr>
                <w:rFonts w:cs="Arial" w:ascii="Arial" w:hAnsi="Arial"/>
                <w:sz w:val="20"/>
                <w:szCs w:val="20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документовед; инженер; специалист по охране труда; инженер по ремонту; инженер-программист (программист); инженер-электроник (электроник); инженер-энергетик (энергетик); инженер по защите информации; психолог; социолог;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специалист по кадрам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; специалист по связям с общественностью; менеджер по персоналу; сурдопереводчик;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6705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служащих 1 квалификационного уровня, по которым устанавливается II внутридолжностная категория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8748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служащих 1 квалификационного уровня, по которым устанавливается I внутридолжностная категория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9422</w:t>
            </w:r>
          </w:p>
        </w:tc>
      </w:tr>
      <w:tr>
        <w:trPr/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должности служащих 1 квалификационного уровня, по которым устанавливается производное должностное наименование "ведущий"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10171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jc w:val="right"/>
        <w:outlineLvl w:val="1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  <w:t>Приложение N 3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  <w:t>к Примерному положению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4"/>
          <w:szCs w:val="24"/>
          <w:lang w:eastAsia="ru-RU"/>
        </w:rPr>
      </w:pPr>
      <w:bookmarkStart w:id="5" w:name="P761"/>
      <w:bookmarkEnd w:id="5"/>
      <w:r>
        <w:rPr>
          <w:rFonts w:eastAsia="Times New Roman" w:cs="Calibri" w:ascii="Liberation Serif" w:hAnsi="Liberation Serif"/>
          <w:b/>
          <w:sz w:val="24"/>
          <w:szCs w:val="24"/>
          <w:lang w:eastAsia="ru-RU"/>
        </w:rPr>
        <w:t>ПРОФЕССИОНАЛЬНЫЕ КВАЛИФИКАЦИОННЫЕ ГРУППЫ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Calibri"/>
          <w:b/>
          <w:b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b/>
          <w:sz w:val="24"/>
          <w:szCs w:val="24"/>
          <w:lang w:eastAsia="ru-RU"/>
        </w:rPr>
        <w:t>ОБЩЕОТРАСЛЕВЫХ ПРОФЕССИЙ РАБОЧИХ</w:t>
      </w:r>
    </w:p>
    <w:p>
      <w:pPr>
        <w:pStyle w:val="Normal"/>
        <w:spacing w:lineRule="auto" w:line="276" w:before="0" w:after="1"/>
        <w:rPr>
          <w:rFonts w:ascii="Liberation Serif" w:hAnsi="Liberation Serif" w:eastAsia="Calibri" w:cs="Times New Roman"/>
          <w:sz w:val="24"/>
          <w:szCs w:val="24"/>
        </w:rPr>
      </w:pPr>
      <w:r>
        <w:rPr>
          <w:rFonts w:eastAsia="Calibri" w:cs="Times New Roman" w:ascii="Liberation Serif" w:hAnsi="Liberation Serif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>
          <w:rFonts w:eastAsia="Times New Roman" w:cs="Calibri" w:ascii="Liberation Serif" w:hAnsi="Liberation Serif"/>
          <w:sz w:val="24"/>
          <w:szCs w:val="24"/>
          <w:lang w:eastAsia="ru-RU"/>
        </w:rPr>
      </w:r>
    </w:p>
    <w:tbl>
      <w:tblPr>
        <w:tblW w:w="9070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000" w:noVBand="0" w:noHBand="0" w:lastColumn="0" w:firstColumn="0" w:lastRow="0" w:firstRow="0"/>
      </w:tblPr>
      <w:tblGrid>
        <w:gridCol w:w="964"/>
        <w:gridCol w:w="2437"/>
        <w:gridCol w:w="3345"/>
        <w:gridCol w:w="2323"/>
      </w:tblGrid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Минимальный размер оклада (рублей) </w:t>
            </w:r>
            <w:hyperlink w:anchor="P820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ЕТКС </w:t>
            </w:r>
            <w:hyperlink w:anchor="P821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, в том числе мойщик посуды; подсобный рабочий; гардеробщик; грузчик; кастелянша; садовник; сторож (вахтер); уборщик производственных помещений;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уборщик служебных помещений;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 уборщик территории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4026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Liberation Serif" w:hAnsi="Liberation Serif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кладовщик; кухонный рабочий; машинист по стирке и ремонту спецодежды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4351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Liberation Serif" w:hAnsi="Liberation Serif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оператор копировальных и множительных машин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4676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2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ЕТКС </w:t>
            </w:r>
            <w:hyperlink w:anchor="P821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, в том числе оператор стиральных машин; рабочий по комплексному обслуживанию и ремонту зданий; оператор электронно-вычислительных и вычислительных машин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4676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Liberation Serif" w:hAnsi="Liberation Serif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киномеханик; маляр; парикмахер; швея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5195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машинист (кочегар) котельной; машинист насосных установок; оператор котельной; плотник;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слесарь-сантехник;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слесарь-электрик по ремонту электрооборудования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; штукатур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5761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Liberation Serif" w:hAnsi="Liberation Serif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b/>
                <w:sz w:val="24"/>
                <w:szCs w:val="24"/>
                <w:lang w:eastAsia="ru-RU"/>
              </w:rPr>
              <w:t>водитель автомобиля</w:t>
            </w: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; кондитер; повар; столяр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7219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76" w:before="0" w:after="200"/>
              <w:rPr>
                <w:rFonts w:ascii="Liberation Serif" w:hAnsi="Liberation Serif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/>
                <w:sz w:val="24"/>
                <w:szCs w:val="24"/>
              </w:rPr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электрогазосварщик; электромонтер по ремонту и обслуживанию электрооборудования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7219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ЕТКС </w:t>
            </w:r>
            <w:hyperlink w:anchor="P821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7407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ЕТКС </w:t>
            </w:r>
            <w:hyperlink w:anchor="P821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&lt;**&gt;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7543</w:t>
            </w:r>
          </w:p>
        </w:tc>
      </w:tr>
      <w:tr>
        <w:trPr/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 xml:space="preserve"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работы; высококвалифицированные рабочие </w:t>
            </w:r>
            <w:hyperlink w:anchor="P822">
              <w:r>
                <w:rPr>
                  <w:rFonts w:eastAsia="Times New Roman" w:cs="Calibri" w:ascii="Liberation Serif" w:hAnsi="Liberation Serif"/>
                  <w:color w:val="0000FF"/>
                  <w:sz w:val="24"/>
                  <w:szCs w:val="24"/>
                  <w:lang w:eastAsia="ru-RU"/>
                </w:rPr>
                <w:t>&lt;***&gt;</w:t>
              </w:r>
            </w:hyperlink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  <w:t>7857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Liberation Serif" w:hAnsi="Liberation Serif" w:eastAsia="Times New Roman" w:cs="Calibri"/>
                <w:sz w:val="24"/>
                <w:szCs w:val="24"/>
                <w:lang w:eastAsia="ru-RU"/>
              </w:rPr>
            </w:pPr>
            <w:r>
              <w:rPr>
                <w:rFonts w:eastAsia="Times New Roman" w:cs="Calibri" w:ascii="Liberation Serif" w:hAnsi="Liberation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Times New Roman" w:cs="Calibri"/>
          <w:sz w:val="24"/>
          <w:szCs w:val="24"/>
          <w:lang w:eastAsia="ru-RU"/>
        </w:rPr>
      </w:pPr>
      <w:r>
        <w:rPr/>
      </w:r>
    </w:p>
    <w:sectPr>
      <w:headerReference w:type="default" r:id="rId5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Arial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76c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bc10f8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bc10f8"/>
    <w:rPr/>
  </w:style>
  <w:style w:type="character" w:styleId="Style16">
    <w:name w:val="Интернет-ссылка"/>
    <w:basedOn w:val="DefaultParagraphFont"/>
    <w:uiPriority w:val="99"/>
    <w:unhideWhenUsed/>
    <w:rsid w:val="00713df6"/>
    <w:rPr>
      <w:color w:val="0563C1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867ef5"/>
    <w:rPr>
      <w:rFonts w:ascii="Segoe UI" w:hAnsi="Segoe UI" w:cs="Segoe UI"/>
      <w:sz w:val="18"/>
      <w:szCs w:val="18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PT Astra Serif" w:hAnsi="PT Astra Serif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bc10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bc10f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3b0165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867ef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ab7e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0C2561A0BFB3185078583B1136596FB2EFDF2763EF0AA10139B6442944978918235A093B86398C312D5DB13A6B05CCF715E83F4DE49F61FEBAGDG" TargetMode="External"/><Relationship Id="rId4" Type="http://schemas.openxmlformats.org/officeDocument/2006/relationships/hyperlink" Target="consultantplus://offline/ref=0C2561A0BFB3185078583B1136596FB2E6D92360E806FC0B31EF482B4398D60F2413053A86398C382F02B42F7A5DC0FE03F63955F89D63BFGCG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3401</TotalTime>
  <Application>LibreOffice/6.4.7.2$Linux_X86_64 LibreOffice_project/40$Build-2</Application>
  <Pages>14</Pages>
  <Words>2944</Words>
  <Characters>23047</Characters>
  <CharactersWithSpaces>26048</CharactersWithSpaces>
  <Paragraphs>253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2020-08-10T04:38:00Z</dcterms:created>
  <dc:creator>Пользователь Windows</dc:creator>
  <dc:description/>
  <dc:language>ru-RU</dc:language>
  <cp:lastModifiedBy/>
  <cp:lastPrinted>2022-02-03T15:34:25Z</cp:lastPrinted>
  <dcterms:modified xsi:type="dcterms:W3CDTF">2022-02-03T15:35:20Z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