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tabs>
          <w:tab w:val="clear" w:pos="708"/>
        </w:tabs>
        <w:ind w:left="0" w:right="0" w:hanging="0"/>
        <w:jc w:val="center"/>
        <w:rPr/>
      </w:pPr>
      <w:r>
        <w:rPr>
          <w:rStyle w:val="Style15"/>
          <w:rFonts w:eastAsia="Liberation Serif;Times New Roman" w:cs="Liberation Serif;Times New Roman" w:ascii="Liberation Serif;Times New Roman" w:hAnsi="Liberation Serif;Times New Roman"/>
          <w:kern w:val="2"/>
          <w:sz w:val="28"/>
          <w:szCs w:val="28"/>
          <w:lang w:eastAsia="ru-RU"/>
        </w:rPr>
        <w:t xml:space="preserve"> </w:t>
      </w:r>
      <w:r>
        <w:rPr/>
        <w:drawing>
          <wp:inline distT="0" distB="0" distL="0" distR="0">
            <wp:extent cx="482600" cy="748030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06" t="-909" r="-1406" b="-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 w:val="false"/>
        <w:jc w:val="left"/>
        <w:rPr/>
      </w:pPr>
      <w:r>
        <w:rPr>
          <w:rStyle w:val="Style15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u w:val="none"/>
          <w:lang w:val="ru-RU" w:eastAsia="ru-RU" w:bidi="ar-SA"/>
        </w:rPr>
        <w:t>от 06.03</w:t>
      </w:r>
      <w:r>
        <w:rPr>
          <w:rStyle w:val="Style15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u w:val="none"/>
          <w:lang w:val="en-US" w:eastAsia="ru-RU" w:bidi="ar-SA"/>
        </w:rPr>
        <w:t>.2020</w:t>
      </w:r>
      <w:r>
        <w:rPr>
          <w:rStyle w:val="Style15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u w:val="none"/>
          <w:lang w:val="ru-RU" w:eastAsia="ru-RU" w:bidi="ar-SA"/>
        </w:rPr>
        <w:t xml:space="preserve">  N 158</w:t>
      </w:r>
    </w:p>
    <w:p>
      <w:pPr>
        <w:pStyle w:val="Normal"/>
        <w:widowControl w:val="false"/>
        <w:jc w:val="center"/>
        <w:rPr>
          <w:rFonts w:ascii="Liberation Serif" w:hAnsi="Liberation Serif"/>
          <w:b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О внесении изменений в Правила осуществления </w:t>
      </w:r>
    </w:p>
    <w:p>
      <w:pPr>
        <w:pStyle w:val="Normal"/>
        <w:widowControl w:val="false"/>
        <w:jc w:val="center"/>
        <w:rPr>
          <w:rFonts w:ascii="Liberation Serif" w:hAnsi="Liberation Serif"/>
          <w:b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финансовым управлением администрации Камышловского </w:t>
      </w:r>
    </w:p>
    <w:p>
      <w:pPr>
        <w:pStyle w:val="Normal"/>
        <w:widowControl w:val="false"/>
        <w:jc w:val="center"/>
        <w:rPr>
          <w:rFonts w:ascii="Liberation Serif" w:hAnsi="Liberation Serif"/>
          <w:b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городского округа полномочий по контролю в финансово-бюджетной сфере, утвержденные постановлением главы Камышловского </w:t>
      </w:r>
    </w:p>
    <w:p>
      <w:pPr>
        <w:pStyle w:val="Normal"/>
        <w:widowControl w:val="false"/>
        <w:jc w:val="center"/>
        <w:rPr>
          <w:rFonts w:ascii="Liberation Serif" w:hAnsi="Liberation Serif"/>
          <w:b/>
          <w:b/>
          <w:bCs/>
          <w:iCs/>
          <w:sz w:val="28"/>
          <w:szCs w:val="28"/>
        </w:rPr>
      </w:pPr>
      <w:bookmarkStart w:id="0" w:name="__DdeLink__4633_3467118054"/>
      <w:r>
        <w:rPr>
          <w:rFonts w:ascii="Liberation Serif" w:hAnsi="Liberation Serif"/>
          <w:b/>
          <w:bCs/>
          <w:iCs/>
          <w:sz w:val="28"/>
          <w:szCs w:val="28"/>
        </w:rPr>
        <w:t>городского округа от 28.02.2014 года № 386</w:t>
      </w:r>
      <w:bookmarkEnd w:id="0"/>
    </w:p>
    <w:p>
      <w:pPr>
        <w:pStyle w:val="ConsPlusTitle"/>
        <w:widowControl/>
        <w:jc w:val="center"/>
        <w:rPr>
          <w:rFonts w:ascii="Liberation Serif" w:hAnsi="Liberation Serif"/>
          <w:i/>
          <w:i/>
          <w:iCs/>
        </w:rPr>
      </w:pPr>
      <w:r>
        <w:rPr>
          <w:rFonts w:ascii="Liberation Serif" w:hAnsi="Liberation Serif"/>
          <w:i/>
          <w:iCs/>
        </w:rPr>
      </w:r>
    </w:p>
    <w:p>
      <w:pPr>
        <w:pStyle w:val="ConsPlusTitle"/>
        <w:widowControl/>
        <w:ind w:firstLine="709"/>
        <w:jc w:val="both"/>
        <w:rPr>
          <w:rFonts w:ascii="Liberation Serif" w:hAnsi="Liberation Serif"/>
          <w:b w:val="false"/>
          <w:b w:val="false"/>
        </w:rPr>
      </w:pPr>
      <w:r>
        <w:rPr>
          <w:rFonts w:ascii="Liberation Serif" w:hAnsi="Liberation Serif"/>
          <w:b w:val="false"/>
        </w:rPr>
        <w:t xml:space="preserve">В соответствии с Федеральным законом от 26 июля 2019 года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и от 27 декабря 2019 № 449-ФЗ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в целях совершенствования исполнения финансовым управлением администрации Камышловского городского округа полномочий по контролю в финансово-бюджетной сфере, администрация Камышловского городского округа 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textAlignment w:val="baseline"/>
        <w:rPr/>
      </w:pPr>
      <w:r>
        <w:rPr>
          <w:rFonts w:ascii="Liberation Serif" w:hAnsi="Liberation Serif"/>
          <w:b/>
          <w:bCs/>
          <w:sz w:val="28"/>
          <w:szCs w:val="28"/>
        </w:rPr>
        <w:t xml:space="preserve">ПОСТАНОВЛЯЕТ: </w:t>
      </w:r>
    </w:p>
    <w:p>
      <w:pPr>
        <w:pStyle w:val="Normal"/>
        <w:widowControl w:val="false"/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>1. Внести в П</w:t>
      </w:r>
      <w:r>
        <w:rPr>
          <w:rFonts w:ascii="Liberation Serif" w:hAnsi="Liberation Serif"/>
          <w:bCs/>
          <w:iCs/>
          <w:sz w:val="28"/>
          <w:szCs w:val="28"/>
        </w:rPr>
        <w:t xml:space="preserve">равила осуществления финансовым управлением администрации Камышловского городского округа полномочий по контролю в финансово-бюджетной сфере, утвержденные </w:t>
      </w:r>
      <w:r>
        <w:rPr>
          <w:rFonts w:ascii="Liberation Serif" w:hAnsi="Liberation Serif"/>
          <w:sz w:val="28"/>
          <w:szCs w:val="28"/>
        </w:rPr>
        <w:t xml:space="preserve">постановление главы Камышловского городского округа от </w:t>
      </w:r>
      <w:r>
        <w:rPr>
          <w:rFonts w:ascii="Liberation Serif" w:hAnsi="Liberation Serif"/>
          <w:bCs/>
          <w:iCs/>
          <w:sz w:val="28"/>
          <w:szCs w:val="28"/>
        </w:rPr>
        <w:t>28.02.2014 № 386 «Об утверждении правил осуществления финансовым управлением администрации Камышловского городского округа полномочий по контролю в финансово-бюджетной сфере» с изменениями внесенными постановлением главы Камышловского городского округа от 01.04.2014 № 524, от 27.02.2017 № 150, от 09.10.2018 № 868, от 13.02.2019 № 85, от 04.07.2019 № 626, от 30.12.2019 №1130 изменения, изложив их в новой редакции (прилагается).</w:t>
      </w:r>
    </w:p>
    <w:p>
      <w:pPr>
        <w:pStyle w:val="ConsPlusTitle"/>
        <w:widowControl/>
        <w:numPr>
          <w:ilvl w:val="0"/>
          <w:numId w:val="0"/>
        </w:numPr>
        <w:ind w:firstLine="709"/>
        <w:jc w:val="both"/>
        <w:outlineLvl w:val="0"/>
        <w:rPr>
          <w:rFonts w:ascii="Liberation Serif" w:hAnsi="Liberation Serif"/>
          <w:b w:val="false"/>
          <w:b w:val="false"/>
        </w:rPr>
      </w:pPr>
      <w:r>
        <w:rPr>
          <w:rFonts w:ascii="Liberation Serif" w:hAnsi="Liberation Serif"/>
          <w:b w:val="false"/>
        </w:rPr>
        <w:t xml:space="preserve">2. Разместить настоящее постановление на официальном сайте Камышловского городского округа.  </w:t>
      </w:r>
    </w:p>
    <w:p>
      <w:pPr>
        <w:pStyle w:val="ConsPlusTitle"/>
        <w:widowControl/>
        <w:ind w:firstLine="709"/>
        <w:jc w:val="both"/>
        <w:rPr>
          <w:rFonts w:ascii="Liberation Serif" w:hAnsi="Liberation Serif"/>
          <w:b w:val="false"/>
          <w:b w:val="false"/>
        </w:rPr>
      </w:pPr>
      <w:r>
        <w:rPr>
          <w:rFonts w:ascii="Liberation Serif" w:hAnsi="Liberation Serif"/>
          <w:b w:val="false"/>
        </w:rPr>
        <w:t xml:space="preserve">3. Контроль за исполнением настоящего постановления оставляю за собой. 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Глава  </w:t>
      </w:r>
    </w:p>
    <w:p>
      <w:pPr>
        <w:pStyle w:val="Normal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Камышловского городского округа                                        </w:t>
        <w:tab/>
        <w:t xml:space="preserve">       А.В. Половников </w:t>
      </w:r>
    </w:p>
    <w:p>
      <w:pPr>
        <w:pStyle w:val="Normal"/>
        <w:widowControl w:val="false"/>
        <w:numPr>
          <w:ilvl w:val="0"/>
          <w:numId w:val="0"/>
        </w:numPr>
        <w:ind w:left="5387" w:hanging="0"/>
        <w:outlineLvl w:val="0"/>
        <w:rPr/>
      </w:pPr>
      <w:r>
        <w:rPr>
          <w:rFonts w:ascii="Liberation Serif" w:hAnsi="Liberation Serif"/>
          <w:sz w:val="28"/>
          <w:szCs w:val="28"/>
        </w:rPr>
        <w:t>Приложение</w:t>
      </w:r>
    </w:p>
    <w:p>
      <w:pPr>
        <w:pStyle w:val="Normal"/>
        <w:widowControl w:val="false"/>
        <w:numPr>
          <w:ilvl w:val="0"/>
          <w:numId w:val="0"/>
        </w:numPr>
        <w:ind w:left="5387" w:hanging="0"/>
        <w:outlineLvl w:val="0"/>
        <w:rPr/>
      </w:pPr>
      <w:r>
        <w:rPr>
          <w:rFonts w:ascii="Liberation Serif" w:hAnsi="Liberation Serif"/>
          <w:sz w:val="28"/>
          <w:szCs w:val="28"/>
        </w:rPr>
        <w:t xml:space="preserve">к постановлению </w:t>
      </w:r>
      <w:r>
        <w:rPr>
          <w:rFonts w:ascii="Liberation Serif" w:hAnsi="Liberation Serif"/>
          <w:sz w:val="28"/>
          <w:szCs w:val="28"/>
          <w:lang w:val="ru-RU"/>
        </w:rPr>
        <w:t>администрации</w:t>
      </w:r>
    </w:p>
    <w:p>
      <w:pPr>
        <w:pStyle w:val="Normal"/>
        <w:widowControl w:val="false"/>
        <w:numPr>
          <w:ilvl w:val="0"/>
          <w:numId w:val="0"/>
        </w:numPr>
        <w:ind w:left="5387" w:hanging="0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ConsPlusTitle"/>
        <w:widowControl/>
        <w:ind w:left="5387" w:hanging="0"/>
        <w:jc w:val="both"/>
        <w:rPr/>
      </w:pPr>
      <w:r>
        <w:rPr>
          <w:rFonts w:ascii="Liberation Serif" w:hAnsi="Liberation Serif"/>
          <w:b w:val="false"/>
        </w:rPr>
        <w:t xml:space="preserve">от </w:t>
      </w:r>
      <w:r>
        <w:rPr>
          <w:rFonts w:eastAsia="Times New Roman" w:cs="Times New Roman" w:ascii="Liberation Serif" w:hAnsi="Liberation Serif"/>
          <w:b w:val="false"/>
          <w:bCs/>
          <w:color w:val="auto"/>
          <w:kern w:val="0"/>
          <w:sz w:val="28"/>
          <w:szCs w:val="28"/>
          <w:lang w:val="ru-RU" w:eastAsia="ru-RU" w:bidi="ar-SA"/>
        </w:rPr>
        <w:t>06.03.2020</w:t>
      </w:r>
      <w:r>
        <w:rPr>
          <w:rFonts w:ascii="Liberation Serif" w:hAnsi="Liberation Serif"/>
          <w:b w:val="false"/>
        </w:rPr>
        <w:t xml:space="preserve"> № 158   </w:t>
      </w:r>
    </w:p>
    <w:p>
      <w:pPr>
        <w:pStyle w:val="Normal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Normal"/>
        <w:widowControl w:val="false"/>
        <w:jc w:val="center"/>
        <w:rPr>
          <w:rFonts w:ascii="Liberation Serif" w:hAnsi="Liberation Serif"/>
          <w:b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Правила </w:t>
      </w:r>
    </w:p>
    <w:p>
      <w:pPr>
        <w:pStyle w:val="Normal"/>
        <w:widowControl w:val="false"/>
        <w:jc w:val="center"/>
        <w:rPr>
          <w:rFonts w:ascii="Liberation Serif" w:hAnsi="Liberation Serif"/>
          <w:b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>осуществления финансовым управлением администрации Камышловского городского округа полномочий по контролю в финансово-бюджетной сфере</w:t>
      </w:r>
    </w:p>
    <w:p>
      <w:pPr>
        <w:pStyle w:val="Normal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Раздел 1. Общие положения </w:t>
      </w:r>
    </w:p>
    <w:p>
      <w:pPr>
        <w:pStyle w:val="Normal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Глава 1. Основания осуществления внутреннего муниципального</w:t>
      </w:r>
    </w:p>
    <w:p>
      <w:pPr>
        <w:pStyle w:val="Normal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1. Настоящие Правила определяют порядок осуществления финансовым управлением администрации Камышловского городского округа (далее – финансовое управление) полномочий по внутреннему муниципальному финансовому контролю, предусмотренному </w:t>
      </w:r>
      <w:hyperlink r:id="rId3">
        <w:r>
          <w:rPr>
            <w:rStyle w:val="Style14"/>
            <w:rFonts w:ascii="Liberation Serif" w:hAnsi="Liberation Serif"/>
            <w:color w:val="auto"/>
            <w:sz w:val="28"/>
            <w:szCs w:val="28"/>
            <w:u w:val="none"/>
          </w:rPr>
          <w:t>статьей 269.2</w:t>
        </w:r>
      </w:hyperlink>
      <w:r>
        <w:rPr>
          <w:rFonts w:ascii="Liberation Serif" w:hAnsi="Liberation Serif"/>
          <w:sz w:val="28"/>
          <w:szCs w:val="28"/>
        </w:rPr>
        <w:t xml:space="preserve"> Бюджетного кодекса Российской Федерации и частью 8 </w:t>
      </w:r>
      <w:hyperlink r:id="rId4">
        <w:r>
          <w:rPr>
            <w:rStyle w:val="Style14"/>
            <w:rFonts w:ascii="Liberation Serif" w:hAnsi="Liberation Serif"/>
            <w:color w:val="auto"/>
            <w:sz w:val="28"/>
            <w:szCs w:val="28"/>
            <w:u w:val="none"/>
          </w:rPr>
          <w:t>статьи 99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 от 05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контролю плановых и внеплановых ревизий и обследований (далее - контрольные мероприятия). Проверки подразделяются на камеральные и выездные, в том числе встречные проверки, проводимые в рамках выездных и (или) камеральных проверок в целях установления и (или) подтверждения фактов, связанных с деятельностью объектов контроля. 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Плановые контрольные мероприятия осуществляются в соответствии с Планом контрольных мероприятий, утверждаемым приказом финансового управления.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Внеплановые контрольные мероприятия проводятся в соответствии с решением начальника финансового управления, принятым: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на основании поступившей информации о нарушении положений правовых актов, регулирующих бюджетные правоотношения, и (или) законодательства Российской Федерации о контрактной системе в сфере закупок товаров, работ, услуг для обеспечения муниципальных нужд и принятых в соответствии с ним нормативно правовых актов (правовых актов) (далее – законодательство Российской Федерации и иные нормативно правовые акты о контрактной системе в сфере закупок);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 случае истечения срока исполнения ранее выданного представления, предписания;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в случаях, предусмотренных подпунктом 3 пункта 46, подпунктом 3 пункта 55, пунктом 61 настоящих правил. 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Глава 2. Права и обязанности должностных лиц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Должностными лицами финансового управления, уполномоченными  на осуществление деятельности по контролю, являются: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начальник финансового управления;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заместитель начальника финансового управления; 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начальники отделов финансового управления;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иные муниципальные служащие - должностные лица финансового управления, уполномоченные на участие в проведении контрольных мероприятий в соответствии с приказом начальника финансового управления.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Должностные лица пункта 6 настоящих Правил, имеют право: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при осуществлении контрольных мероприятий беспрепятственно при предъявлении служебных удостоверений и копии приказа финансового управления о назначении контрольного мероприятия посещать помещения и территории, которые занимают объекты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составлять протоколы об административных правонарушениях, связанных с нарушениями положений правовых актов, регулирующих бюджетные правоотношения, а так же связанных с нарушениями законодательства Российской Федерации, и принимать меры по их предотвращению;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4) получать необходимый для осуществления внутреннего муниципального финансового контроля постоянный доступ к государственным и муниципальным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 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Должностные лица,  указанные в подпунктах 1 и 2 пункта 6 настоящих правил, имеют права:</w:t>
      </w:r>
    </w:p>
    <w:p>
      <w:pPr>
        <w:pStyle w:val="Normal"/>
        <w:widowControl w:val="false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назначать (организовывать) проведение экспертиз, необходимых для проведения контрольных мероприятий;</w:t>
      </w:r>
    </w:p>
    <w:p>
      <w:pPr>
        <w:pStyle w:val="Normal"/>
        <w:widowControl w:val="false"/>
        <w:numPr>
          <w:ilvl w:val="0"/>
          <w:numId w:val="1"/>
        </w:numPr>
        <w:suppressAutoHyphens w:val="false"/>
        <w:ind w:left="0" w:firstLine="851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направлять объектам контроля акты, заключения, направлять представления и (или) предписания в случаях, предусмотренных законодательством Российской Федерации;</w:t>
      </w:r>
    </w:p>
    <w:p>
      <w:pPr>
        <w:pStyle w:val="Normal"/>
        <w:widowControl w:val="false"/>
        <w:numPr>
          <w:ilvl w:val="0"/>
          <w:numId w:val="1"/>
        </w:numPr>
        <w:suppressAutoHyphens w:val="false"/>
        <w:ind w:left="0" w:firstLine="851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обращать в суд, арбитражный суд с исками о признании осуществленных закупок недействительными в соответствии с Гражданским кодексом Российской Федерации, исками о возмещении ущерба, причиненного Камышловскому городскому округа.   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Должностные лица, указанные в пункте 6 настоящих правил, обязаны: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соблюдать требования нормативных правовых актов в установленной сфере деятельности;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 даты выявления такого факта;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со дня выявления обстоятельств и фактов; 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Должностные лица, указанные в подпунктах 3 и 4 пункта 6 настоящих правил, обязаны: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проводить контрольные мероприятия в соответствии с приказом финансового управления;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знакомить руководителя или уполномоченное должностное лицо объекта контроля с копией приказа финансового управления о проведении контрольного мероприятия, копией приказа финансового управления о приостановлении, возобновлении и продлении срока проведения контрольного мероприятия, об изменении состава проверочной или ревизионной группы, а также с результатами контрольных мероприятий (актами и заключениями).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Должностные лица, указанные в пункте 6 настоящих правил, несут ответственность за действия (бездействия) и решения, принимаемые в процессе осуществления контрольных мероприятий, в соответствии с законодательством Российской Федерации.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 Должностные лица объектов контроля имеют право: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присутствовать при проведении контрольных действий, проводимых в рамках выездных контрольных мероприятий, давать объяснения по вопросам, относящимся к теме и основным вопросам, подлежащим изучению входе проведения контрольных мероприятия;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обжаловать решения и действия (бездействия) финансового управления и его должностных лиц в порядке, установленном нормативными правовыми актами Российской Федерации;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предоставлять в финансовое управление возражения в письменной форме на акт, оформленный по результатам проверки (ревизии), в порядке, установленном настоящими правилами. 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 Должностные лица объектов контроля обязаны: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выполнять законные требования должностных лиц, указанных в пункте 6 настоящих правил;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предоставлять своевременно и в полном объеме должностными лицами, указанными в пункте 6 настоящих правил, по их запросам информацию, документы и материалы, необходимые для проведения контрольных мероприятий;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предоставлять должностным лицам, принимающим участие в  проведении выездной проверки (ревизии), допуск в помещение и на территории, которые занимают объекты контроля;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мероприятий.  </w:t>
      </w:r>
    </w:p>
    <w:p>
      <w:pPr>
        <w:pStyle w:val="ConsPlusTitle"/>
        <w:widowControl/>
        <w:numPr>
          <w:ilvl w:val="0"/>
          <w:numId w:val="0"/>
        </w:numPr>
        <w:ind w:firstLine="709"/>
        <w:jc w:val="both"/>
        <w:outlineLvl w:val="0"/>
        <w:rPr>
          <w:rFonts w:ascii="Liberation Serif" w:hAnsi="Liberation Serif"/>
          <w:b w:val="false"/>
          <w:b w:val="false"/>
        </w:rPr>
      </w:pPr>
      <w:r>
        <w:rPr>
          <w:rFonts w:ascii="Liberation Serif" w:hAnsi="Liberation Serif"/>
          <w:b w:val="false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Глава 3. Планирование контрольной деятельности 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 Планирование деятельности по контролю осуществляется финансовых управлением с соблюдением следующих условий: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обеспечение равномерности нагрузки на должностных лиц финансового управления, принимающие участие в контрольных мероприятиях;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12. Отбор контрольных мероприятий осуществляется исходя из следующих критериев: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существенность и значимость мероприятий, осуществляемых объектами контроля, в отношении которых предполагается проведение контрольных мероприятий, и (или) направления и объемов бюджетных расходов, включая мероприятия, осуществляемые в рамках реализации муниципальных программ Камышловского городского округа;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длительность периода, прошедшего с момента проведения идентичного контрольного мероприятия финансовым управлением (в случае если указанный период превышает 3 года, данный критерий имеет наивысший приоритет);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информация о наличии признаков нарушений, поступившая от органов государственного (муниципального) финансового контроля, главных распорядителей (администраторов) средств местного бюджета Камышловского городского округа, а также выявленная по результатам анализа данных единой информационной системы в сфере закупок товаров, работ, услуг для обеспечения государственных и муниципальных нужд.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14. Формирование плана контрольных мероприятий финансового управления осуществляется с учетом информации о планируемых (проводимых) иными муниципальными органами идентичных контрольных мероприятиях в целях исключения дублирования контрольных мероприятий. 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целях настоящих правил под идентичным контрольным мероприятием понимается контрольное мероприятие, в рамках которого иными муниципальными органами проводятся (планируются к проведению) контрольные действия в отношении деятельности объекта контроля, которые могут быть проведены финансовым управлением. 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center"/>
        <w:outlineLvl w:val="1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Раздел 2. Осуществление деятельности по контролю</w:t>
      </w:r>
    </w:p>
    <w:p>
      <w:pPr>
        <w:pStyle w:val="Normal"/>
        <w:widowControl w:val="false"/>
        <w:numPr>
          <w:ilvl w:val="0"/>
          <w:numId w:val="0"/>
        </w:numPr>
        <w:ind w:firstLine="709"/>
        <w:jc w:val="center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spacing w:before="0" w:after="0"/>
        <w:contextualSpacing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  <w:t xml:space="preserve">Глава 4. Общие положения деятельности по контрою </w:t>
      </w:r>
    </w:p>
    <w:p>
      <w:pPr>
        <w:pStyle w:val="ConsPlusNormal"/>
        <w:spacing w:before="0" w:after="0"/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spacing w:before="0" w:after="0"/>
        <w:ind w:firstLine="709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15. Финансовое управление при осуществлении деятельности по контролю осуществляет:</w:t>
      </w:r>
    </w:p>
    <w:p>
      <w:pPr>
        <w:pStyle w:val="ConsPlusNormal"/>
        <w:spacing w:before="220" w:after="0"/>
        <w:ind w:firstLine="709"/>
        <w:contextualSpacing/>
        <w:jc w:val="both"/>
        <w:rPr>
          <w:rFonts w:ascii="Liberation Serif" w:hAnsi="Liberation Serif"/>
        </w:rPr>
      </w:pPr>
      <w:bookmarkStart w:id="1" w:name="P111"/>
      <w:bookmarkEnd w:id="1"/>
      <w:r>
        <w:rPr>
          <w:rFonts w:ascii="Liberation Serif" w:hAnsi="Liberation Serif"/>
        </w:rPr>
        <w:t xml:space="preserve">полномочия по осуществлению внутреннего муниципального контроля, установленных пунктом 1 статьи 269.2 Бюджетного кодекса Российской Федерации и частью 8 статьи 99 Федерального закона о контрактной системе. 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2" w:name="P114"/>
      <w:bookmarkStart w:id="3" w:name="P113"/>
      <w:bookmarkStart w:id="4" w:name="P112"/>
      <w:bookmarkEnd w:id="2"/>
      <w:bookmarkEnd w:id="3"/>
      <w:bookmarkEnd w:id="4"/>
      <w:r>
        <w:rPr>
          <w:rFonts w:ascii="Liberation Serif" w:hAnsi="Liberation Serif"/>
          <w:sz w:val="28"/>
          <w:szCs w:val="28"/>
        </w:rPr>
        <w:t>16. Объектами контроля являются: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главные распорядители (распорядители, получатели) средств местного бюджета, главные администраторы (администраторы) доходов местного бюджета,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главные администраторы (администраторы) источников финансирования дефицита местного бюджета;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муниципальные учреждения Камышловского городского округа;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муниципальные унитарные предприятия Камышловского городского округа;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юридические лица (за исключением муниципальных учреждений, муниципальных унитарных предприятий, публично-правовых образований, хозяйственных товариществ и обществ с участием средств Камышловского городского округа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>
      <w:pPr>
        <w:pStyle w:val="Normal"/>
        <w:suppressAutoHyphens w:val="false"/>
        <w:ind w:firstLine="540"/>
        <w:jc w:val="both"/>
        <w:textAlignment w:val="auto"/>
        <w:rPr>
          <w:rFonts w:ascii="Liberation Serif" w:hAnsi="Liberation Serif" w:eastAsia="Calibri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</w:rPr>
        <w:t>юридическими и физическими лицами, индивидуальными предпринимателями, получающими средства из местного бюджета на основании договоров (соглашений) о предоставлении средств из местного бюджета и (или) муниципальных контрактов, кредиты, обеспеченные муниципальными гарантиями;</w:t>
      </w:r>
    </w:p>
    <w:p>
      <w:pPr>
        <w:pStyle w:val="Normal"/>
        <w:suppressAutoHyphens w:val="false"/>
        <w:ind w:firstLine="540"/>
        <w:jc w:val="both"/>
        <w:textAlignment w:val="auto"/>
        <w:rPr>
          <w:rFonts w:ascii="Liberation Serif" w:hAnsi="Liberation Serif" w:eastAsia="Calibri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местного бюджета и (или) муниципальных контрактов, которым в соответствии с законодательством Российской Федерации открыты лицевые счета в Управлении Федерального Казначейства по Свердловской области, финансовом управлении;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кредитные организации, осуществляющие отдельные операции со  средствами местного бюджета, в части соблюдения ими условий договоров (соглашений) о предоставлении средств из местного бюджета;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 заказчики,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в соответствии с Федеральным законом о контрактной системе закупок товаров, работ и услуг для обеспечения нужд Камышловского городского округа.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17. Срок представления информации, документов и материалов устанавливается в запросе, исчисляется с даты получения запроса и составляет не менее 1 рабочего дня.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19. Все документы, составляемые должностными лицами финансового управления в рамках контрольного мероприятия, приобщаются к материалам контрольного мероприятия, учитываются и хранятся в установленном финансовым управлением порядке, в том числе с применением автоматизированной информационной системы.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20. В рамках выездных или камеральных проверок могут проводиться встречные проверки в целях установления и (или) подтверждения фактов, связанных с деятельностью объекта контроля. 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21.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представления и предписания объекту встречной проверки не направляются. 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22. Обследования могут проводиться в рамках камеральных и выездных проверок (ревизий) в соответствии с настоящими правилами. Сроки проведения обследований в рамках камеральных и выездных проверок (ревизий) не может превышать 20 рабочих дней.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23. Решение о проведении проверки (в том числе встречной), ревизии или обследования оформляется приказом финансового управления.  </w:t>
      </w:r>
    </w:p>
    <w:p>
      <w:pPr>
        <w:pStyle w:val="ConsPlusNormal"/>
        <w:spacing w:before="0" w:after="0"/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numPr>
          <w:ilvl w:val="0"/>
          <w:numId w:val="0"/>
        </w:numPr>
        <w:spacing w:before="0" w:after="0"/>
        <w:contextualSpacing/>
        <w:jc w:val="center"/>
        <w:outlineLvl w:val="2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  <w:t>Глава 5. Требования к проведению контрольных мероприятий</w:t>
      </w:r>
    </w:p>
    <w:p>
      <w:pPr>
        <w:pStyle w:val="ConsPlusNormal"/>
        <w:spacing w:before="0" w:after="0"/>
        <w:contextualSpacing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spacing w:before="0" w:after="0"/>
        <w:ind w:firstLine="540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24. К процедурам исполнения контрольного мероприятия относятся назначение контрольного мероприятия, проведение контрольного мероприятия, приостановление (возобновление) контрольного мероприятия и реализация результатов контрольного мероприятия.</w:t>
      </w:r>
    </w:p>
    <w:p>
      <w:pPr>
        <w:pStyle w:val="ConsPlusNormal"/>
        <w:spacing w:before="220" w:after="0"/>
        <w:ind w:firstLine="540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25. Контрольное мероприятие проводится на основании приказа финансового управления о его назначении, в котором указываются:</w:t>
      </w:r>
    </w:p>
    <w:p>
      <w:pPr>
        <w:pStyle w:val="ConsPlusNormal"/>
        <w:spacing w:before="220" w:after="0"/>
        <w:ind w:firstLine="540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 наименование объект контроля;</w:t>
      </w:r>
    </w:p>
    <w:p>
      <w:pPr>
        <w:pStyle w:val="ConsPlusNormal"/>
        <w:spacing w:before="220" w:after="0"/>
        <w:ind w:firstLine="540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 проверяемый период;</w:t>
      </w:r>
    </w:p>
    <w:p>
      <w:pPr>
        <w:pStyle w:val="ConsPlusNormal"/>
        <w:spacing w:before="220" w:after="0"/>
        <w:ind w:firstLine="540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 тема контрольного мероприятия;</w:t>
      </w:r>
    </w:p>
    <w:p>
      <w:pPr>
        <w:pStyle w:val="ConsPlusNormal"/>
        <w:spacing w:before="220" w:after="0"/>
        <w:ind w:firstLine="540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4) основание проведения контрольного мероприятия:</w:t>
      </w:r>
    </w:p>
    <w:p>
      <w:pPr>
        <w:pStyle w:val="ConsPlusNormal"/>
        <w:spacing w:before="220" w:after="0"/>
        <w:ind w:firstLine="540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5) состав должностных лиц, уполномоченных на проведение контрольного мероприятия;</w:t>
      </w:r>
    </w:p>
    <w:p>
      <w:pPr>
        <w:pStyle w:val="ConsPlusNormal"/>
        <w:spacing w:before="220" w:after="0"/>
        <w:ind w:firstLine="540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6) срок проведения контрольного мероприятия;</w:t>
      </w:r>
    </w:p>
    <w:p>
      <w:pPr>
        <w:pStyle w:val="ConsPlusNormal"/>
        <w:spacing w:before="220" w:after="0"/>
        <w:ind w:firstLine="540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7) перечень основных вопросов, подлежащих изучению в ходе проведения контрольного мероприятия.</w:t>
      </w:r>
    </w:p>
    <w:p>
      <w:pPr>
        <w:pStyle w:val="ConsPlusNormal"/>
        <w:spacing w:before="220" w:after="0"/>
        <w:ind w:firstLine="540"/>
        <w:contextualSpacing/>
        <w:jc w:val="both"/>
        <w:rPr>
          <w:rFonts w:ascii="Liberation Serif" w:hAnsi="Liberation Serif"/>
        </w:rPr>
      </w:pPr>
      <w:bookmarkStart w:id="5" w:name="P145"/>
      <w:bookmarkEnd w:id="5"/>
      <w:r>
        <w:rPr>
          <w:rFonts w:ascii="Liberation Serif" w:hAnsi="Liberation Serif"/>
        </w:rPr>
        <w:t>26. Решение о приостановлении контрольного мероприятия принимается начальником финансового управления на основании мотивированного обращения руководителя проверочной (ревизионной) группы в соответствии с настоящими правилами. На время приостановления проведения контрольного мероприятия срок проведения контрольных действий по месту нахождения объекта контроля прерывается, но не более чем на 6 месяцев.</w:t>
      </w:r>
    </w:p>
    <w:p>
      <w:pPr>
        <w:pStyle w:val="ConsPlusNormal"/>
        <w:spacing w:before="220" w:after="0"/>
        <w:ind w:firstLine="540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27. Решение о возобновлении проведения контрольного мероприятия принимается после устранения причин приостановления контрольного мероприятия в соответствии с настоящими правилами.</w:t>
      </w:r>
    </w:p>
    <w:p>
      <w:pPr>
        <w:pStyle w:val="ConsPlusNormal"/>
        <w:spacing w:before="220" w:after="0"/>
        <w:ind w:firstLine="540"/>
        <w:contextualSpacing/>
        <w:jc w:val="both"/>
        <w:rPr>
          <w:rFonts w:ascii="Liberation Serif" w:hAnsi="Liberation Serif"/>
        </w:rPr>
      </w:pPr>
      <w:bookmarkStart w:id="6" w:name="P147"/>
      <w:bookmarkEnd w:id="6"/>
      <w:r>
        <w:rPr>
          <w:rFonts w:ascii="Liberation Serif" w:hAnsi="Liberation Serif"/>
        </w:rPr>
        <w:t>28. Решение о приостановлении (возобновлении) контрольного мероприятия оформляется приказом финансового управления, в котором указываются основания приостановления (возобновления) контрольного мероприятия. Копия приказа о приостановлении (возобновлении) проведения контрольного мероприятия направляется в адрес объекта контроля.</w:t>
      </w:r>
    </w:p>
    <w:p>
      <w:pPr>
        <w:pStyle w:val="Normal"/>
        <w:widowControl w:val="false"/>
        <w:numPr>
          <w:ilvl w:val="0"/>
          <w:numId w:val="0"/>
        </w:numPr>
        <w:ind w:firstLine="709"/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center"/>
        <w:outlineLvl w:val="1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Глава 6. Проведение выездной проверки (ревизии)</w:t>
      </w:r>
    </w:p>
    <w:p>
      <w:pPr>
        <w:pStyle w:val="Normal"/>
        <w:widowControl w:val="false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29. Проведение выездной проверки (ревизии) состоит в осуществлении соответствующих контрольных действии в отношении объекта контроля по месту нахождения объекта контроля и оформлении акта выездной проверки. 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30. Срок проведения контрольных действии по месту нахождения контроля составляет не более 40 рабочих дней.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31. Срок проведения контрольных действий по месту нахождения объекта контроля может быть продлен начальником финансового управления на основании мотивированного обращения руководителя проверочной (ревизионной) группы на срок не более 20 рабочих дней.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32. При воспрепятствовании доступу проверочной (ревизионной) группы на территорию или в помещение объекта контроля, а также по фактам непредставления или несвоевременного предоставления должностными лицами объекта контроля информации, документов и материалов, запрошенных при проведении выездной проверки (ревизии), руководитель проверочной (ревизионной) группы составляет акт по форме, утверждаемой приказом финансового управления.   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33. В случае обнаружения подделок, подлогов, хищений, злоупотреблений и при необходимости пресечения данных противоправных действий руководитель проверочной (ревизионной) группы изымает необходимые документы и материалы с учетом ограничений, установленных законодательством Российской Федерации, составляет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архивы. Форма акта изъятия утверждается финансовым управлением.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34. Начальник финансового управления на основании мотивированного обращения руководителя проверочной (ревизионной) группы 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может назначить проведение: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обследования;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встречной проверки.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35. По результаты обследования оформляется заключение, которое прилагается к материалам выездной проверки (ревизии).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36. Контрольные действия по документальному изучению проводятся в отношении финансовых, бухгалтерских, отчетных документов,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контрольных действий.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Проведение и результаты контрольных действий по фактическому изучению деятельности объекта контроля оформляются соответствующими актами.  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37. Проведение выездной проверки (ревизии) может быть приостановлено в порядке, предусмотренном пунктами 26 и 28 настоящих Правил, на основании мотивированного обращения руководителя проверочной (ревизионной) группы: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на период проведения встречной проверки и (или) обследования;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при отсутствии бюджетного (бухгалтерского) учета у объекта контроля или нарушении объектом контроля правил ведения бюджетного (бухгалтерского) учета, которое делает невозможным дальнейшее проведение проверки (ревизии),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на период организации и проведения экспертиз;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на период исполнения запросов, направленных в компетентные государственные органы;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в случае непредставления объектом контроля информации, документов и материалов или представления неполного комплекта запрашиваемой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при необходимости обследования имущества и (или) документов, находящихся не по месту нахождения объекта контроля;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 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силы.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38. В течение 3 рабочих дней со дня принятия решение о приостановлении проведения выездной проверки (ревизии) объект контроля письменно извещается о приостановлении выездной проверки (ревизии) и причинах приостановления. 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39. Решение о возобновлении выездной проверки (ревизии) принимается в течение 3 рабочих дней со дня получения сведений об устранении причин приостановления выездной проверки (ревизии). 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Объект контроля одновременно информируется о возобновлении выездной проверки (ревизии).  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40. После окончания контрольных действий по месту нахождения объекта контроля и иных мероприятий, проводимых в рамках выездной проверки (ревизии), руководитель проверочной (ревизионной) группы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41. По результатам выездной проверки (ревизии) оформляется акт, который должен быть подписан должностными лицами, проводившими проверку (ревизию), в течение 15 рабочих дней, исчисляемых со дня, следующего за днем срока проведения выездной проверки (ревизии).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42. К акту выездной проверки (ревизии)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43. Акт выездной проверки (ревизии) в течение 3 рабочих дней со дня его подписания вручается (направляется) представителю объекта контроля в соответствии с настоящими правилами.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44. 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45. Акт и иные материалы выездной проверки (ревизии) подлежат рассмотрению начальником финансового управления в течение 30 календарных дней со дня подписания акта должностными лицами, проводившими проверку (ревизию).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46. По результатам рассмотрения акта и иных материалов выездной проверки (ревизии) начальник финансового управления принимает решение: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о направлении объектам контроля представления и (или) предписания;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об отсутствии оснований для направления предписания и (или) представления;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о назначении внеплановой выездной проверки (ревизии), в том числе при представлении объектом контроля письменных возражений,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Решение оформляется заключением по результатам рассмотрения акта выездной проверки (ревизии), которое подписывается начальником финансового управления (лицом, его замещающим). </w:t>
      </w:r>
    </w:p>
    <w:p>
      <w:pPr>
        <w:pStyle w:val="Normal"/>
        <w:widowControl w:val="false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center"/>
        <w:outlineLvl w:val="1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Глава 7. Проведение камеральной проверки</w:t>
      </w:r>
    </w:p>
    <w:p>
      <w:pPr>
        <w:pStyle w:val="Normal"/>
        <w:widowControl w:val="false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47. Камеральная проверка проводится по месту нахождения финансового управления на основании бюджетной (бухгалтерской) отчетности и иных документов, представленных по запросам финансового управления, а также информации, документов и материалов, полученных в ходе встречных проверок.</w:t>
      </w:r>
    </w:p>
    <w:p>
      <w:pPr>
        <w:pStyle w:val="Normal"/>
        <w:widowControl w:val="false"/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48. Камеральная проверка проводится должностными лицами, указанными в </w:t>
      </w:r>
      <w:hyperlink w:anchor="Par61">
        <w:r>
          <w:rPr>
            <w:rStyle w:val="Style"/>
            <w:rFonts w:ascii="Liberation Serif" w:hAnsi="Liberation Serif"/>
            <w:sz w:val="28"/>
            <w:szCs w:val="28"/>
          </w:rPr>
          <w:t xml:space="preserve">пункте </w:t>
        </w:r>
      </w:hyperlink>
      <w:r>
        <w:rPr/>
        <w:t>6</w:t>
      </w:r>
      <w:r>
        <w:rPr>
          <w:rFonts w:ascii="Liberation Serif" w:hAnsi="Liberation Serif"/>
          <w:sz w:val="28"/>
          <w:szCs w:val="28"/>
        </w:rPr>
        <w:t xml:space="preserve"> настоящих Правил, в течение 30 рабочих дней со дня получения от объекта контроля документов и информации, представленных в соответствии с </w:t>
      </w:r>
      <w:hyperlink w:anchor="Par160">
        <w:r>
          <w:rPr>
            <w:rStyle w:val="Style"/>
            <w:rFonts w:ascii="Liberation Serif" w:hAnsi="Liberation Serif"/>
            <w:sz w:val="28"/>
            <w:szCs w:val="28"/>
          </w:rPr>
          <w:t xml:space="preserve">пунктом </w:t>
        </w:r>
      </w:hyperlink>
      <w:r>
        <w:rPr>
          <w:rFonts w:ascii="Liberation Serif" w:hAnsi="Liberation Serif"/>
          <w:sz w:val="28"/>
          <w:szCs w:val="28"/>
        </w:rPr>
        <w:t>47 настоящих Правил.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49. При проведении камеральной проверки в срок ее проведения не засчитываются периоды времени с даты отправки запроса финансовым управлением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50. Начальник финансового управления на основании мотивированного обращения руководителя проверочной (ревизионной) группы может назначить проведение: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обследования, результаты которого оформляются заключением и прилагаются к материалам камеральной проверки;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встречной проверки.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51. По результатам камеральной проверки оформляется акт, который подписывается должностными лицами, проводящими проверку, не позднее последнего дня срока проведения камеральной проверки.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52. Акт камеральной проверки в течение 3 рабочих дней со дня его подписания вручается (направляется) представителю объекта контроля в соответствии с настоящими правилами.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53. 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по акту проверки приобщаются к материалам проверки.</w:t>
      </w:r>
      <w:bookmarkStart w:id="7" w:name="Par94"/>
      <w:bookmarkEnd w:id="7"/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8" w:name="Par158"/>
      <w:bookmarkEnd w:id="8"/>
      <w:r>
        <w:rPr>
          <w:rFonts w:ascii="Liberation Serif" w:hAnsi="Liberation Serif"/>
          <w:sz w:val="28"/>
          <w:szCs w:val="28"/>
        </w:rPr>
        <w:t>54. Материалы камеральной проверки подлежат рассмотрению начальником финансового управления (лицом, его замещающим), в течение 30 календарных дней с момента подписания акта объектом контроля.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55. По результатам рассмотрения акта и иных материалов камеральной проверки начальником финансового управления принимается решение: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о направлении объектам контроля представления и (или) предписания;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9" w:name="Par170"/>
      <w:bookmarkEnd w:id="9"/>
      <w:r>
        <w:rPr>
          <w:rFonts w:ascii="Liberation Serif" w:hAnsi="Liberation Serif"/>
          <w:sz w:val="28"/>
          <w:szCs w:val="28"/>
        </w:rPr>
        <w:t>2) об отсутствии оснований для направления предписания и (или) представления;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о проведении внеплановой выездной проверки (ревизии).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Решение  оформляется заключением по результатам рассмотрения акта камеральной проверки, которое подписывается начальником финансового управления (лицом, его замещающим). 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color w:val="4F81BD"/>
          <w:sz w:val="28"/>
          <w:szCs w:val="28"/>
        </w:rPr>
      </w:pPr>
      <w:r>
        <w:rPr>
          <w:rFonts w:ascii="Liberation Serif" w:hAnsi="Liberation Serif"/>
          <w:color w:val="4F81BD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center"/>
        <w:outlineLvl w:val="1"/>
        <w:rPr>
          <w:rFonts w:ascii="Liberation Serif" w:hAnsi="Liberation Serif"/>
          <w:b/>
          <w:b/>
          <w:sz w:val="28"/>
          <w:szCs w:val="28"/>
        </w:rPr>
      </w:pPr>
      <w:bookmarkStart w:id="10" w:name="Par175"/>
      <w:bookmarkEnd w:id="10"/>
      <w:r>
        <w:rPr>
          <w:rFonts w:ascii="Liberation Serif" w:hAnsi="Liberation Serif"/>
          <w:b/>
          <w:sz w:val="28"/>
          <w:szCs w:val="28"/>
        </w:rPr>
        <w:t>Глава 8. Проведение обследования</w:t>
      </w:r>
    </w:p>
    <w:p>
      <w:pPr>
        <w:pStyle w:val="Normal"/>
        <w:widowControl w:val="false"/>
        <w:ind w:firstLine="709"/>
        <w:rPr>
          <w:rFonts w:ascii="Liberation Serif" w:hAnsi="Liberation Serif"/>
          <w:color w:val="FF0000"/>
          <w:sz w:val="28"/>
          <w:szCs w:val="28"/>
        </w:rPr>
      </w:pPr>
      <w:r>
        <w:rPr>
          <w:rFonts w:ascii="Liberation Serif" w:hAnsi="Liberation Serif"/>
          <w:color w:val="FF0000"/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56.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При проведении обследования осуществляется анализ и оценка состояния сферы деятельности объекта контроля, определенной приказом финансового управления.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57. Обследования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 в соответствии с главой 6 настоящих правил.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58.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59. По результатам проведения обследования оформляется заключение, которое подписывается должностным лицом финансового управления, поводившего обследование,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настоящими правилами.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60. Заключение и иные материалы обследования подлежат рассмотрению начальником финансового управления в течение 30 календарных дней со дня подписания заключения.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61. По итогам рассмотрения заключения, подготовленного по результатам проведения обследования, начальник финансового управления может назначить проведение внеплановой выездной проверки (ревизии). Назначение внеплановой проверки по указанному основанию оформляется приказом финансового управления. </w:t>
      </w:r>
    </w:p>
    <w:p>
      <w:pPr>
        <w:pStyle w:val="Normal"/>
        <w:widowControl w:val="false"/>
        <w:ind w:firstLine="709"/>
        <w:rPr>
          <w:rFonts w:ascii="Liberation Serif" w:hAnsi="Liberation Serif"/>
          <w:color w:val="FF0000"/>
          <w:sz w:val="28"/>
          <w:szCs w:val="28"/>
        </w:rPr>
      </w:pPr>
      <w:r>
        <w:rPr>
          <w:rFonts w:ascii="Liberation Serif" w:hAnsi="Liberation Serif"/>
          <w:color w:val="FF000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center"/>
        <w:outlineLvl w:val="1"/>
        <w:rPr>
          <w:rFonts w:ascii="Liberation Serif" w:hAnsi="Liberation Serif"/>
          <w:b/>
          <w:b/>
          <w:sz w:val="28"/>
          <w:szCs w:val="28"/>
        </w:rPr>
      </w:pPr>
      <w:bookmarkStart w:id="11" w:name="Par184"/>
      <w:bookmarkEnd w:id="11"/>
      <w:r>
        <w:rPr>
          <w:rFonts w:ascii="Liberation Serif" w:hAnsi="Liberation Serif"/>
          <w:b/>
          <w:sz w:val="28"/>
          <w:szCs w:val="28"/>
        </w:rPr>
        <w:t>Глава 9. Реализация результатов контрольных мероприятий</w:t>
      </w:r>
    </w:p>
    <w:p>
      <w:pPr>
        <w:pStyle w:val="Normal"/>
        <w:widowControl w:val="false"/>
        <w:ind w:firstLine="709"/>
        <w:rPr>
          <w:rFonts w:ascii="Liberation Serif" w:hAnsi="Liberation Serif"/>
          <w:color w:val="FF0000"/>
          <w:sz w:val="28"/>
          <w:szCs w:val="28"/>
        </w:rPr>
      </w:pPr>
      <w:r>
        <w:rPr>
          <w:rFonts w:ascii="Liberation Serif" w:hAnsi="Liberation Serif"/>
          <w:color w:val="FF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62. При осуществлении контроля, предусмотренного подпунктами 14 настоящих правил, финансовое управление направляет: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объекту контроля представление, содержащее информацию о выявленных бюджетных нарушениях, а также одно из следующих обязательных для исполнения в установленные в представлении срок или в течение 30 календарных дней со дня его получения, если срок не указан, требований по каждому бюджетному нарушению: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требование об устранении бюджетного нарушения и о принятии мер по устранению его причин и условий;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требование о принятии мер по устранению причин и условий бюджетного нарушения в случае невозможного его устранения;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объекту контроля предписание в случае невозможности устранения либо неустранения в установленный в представлении срок бюджетного нарушения, содержащее обязательные для исполнения в установленные в предписании сроки требования о принятии мер по возмещению причиненного ущерба Камышловскому городскому округу.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63. Представление и предписание в течении 30 календарных дней со дня утверждения заключения по результатам рассмотрения акта вручаются (направляются) представителю объекта контроля.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 решению финансового управления срок исполнения представления и (или) предписания может быть продлен в порядке, предусмотренном федеральными стандартами внутреннего муниципального финансового контроля, но не более одного раза по обращению объекта контроля.  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64. Отмена представлений и предписаний финансовым управлением осуществляется в судебном и внесудебном порядке. Отмена представлений, предписаний во внесудебном порядке осуществляется начальником финансового управления по результатам рассмотрения жалоб на решения, действия (бездействия) должностных лиц финансового управления. 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65.</w:t>
        <w:tab/>
        <w:t>Должностные лица, принимающие участие в контрольных мероприятиях, осуществляют контроль за исполнением объектами контроля представлений и предписаний. В случае неисполнения представления и (или) предписания финансовое управление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66. В случае неисполнения предписания о возмещении ущерба, причиненного бюджету Камышловского городского округа финансовое управление направляет в суд исковое заявление о возмещении объектом контроля, должностными лицами которого допущено указанное нарушение, ущерба, причиненного бюджету Камышловского городского округа, и защищает в суде интересы Камышловского городского округа по этому иску.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67. При выявлении в ходе проведения контрольных мероприятий признаков состава административных правонарушений, должностные лица финансового управления составляют протоколы об административных правонарушениях. Протоколы составляются в соответствии с действующим законодательством Российской Федерации. 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68. В случае выявления фактов нецелевого использования средств местного бюджета в крупном и особо крупном размере, материалы проверок направляются в следственные органы.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69. 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такие материалы направляются в соответствующие органы (соответствующим должностным лицам) для рассмотрения в порядке, установленном законодательством Российской Федерации, Свердловской области.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70. Формы и требования к содержанию представлений и предписаний, иных документов, предусмотренных настоящими правилами, устанавливаются финансовым управлением.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71. Информация о результатах проведения контрольных мероприятий направляется главе Камышловского городского округа в виде докладной записки.</w:t>
      </w:r>
    </w:p>
    <w:p>
      <w:pPr>
        <w:pStyle w:val="Normal"/>
        <w:widowControl w:val="false"/>
        <w:ind w:firstLine="709"/>
        <w:rPr>
          <w:rFonts w:ascii="Liberation Serif" w:hAnsi="Liberation Serif"/>
          <w:color w:val="FF0000"/>
          <w:sz w:val="28"/>
          <w:szCs w:val="28"/>
        </w:rPr>
      </w:pPr>
      <w:r>
        <w:rPr>
          <w:rFonts w:ascii="Liberation Serif" w:hAnsi="Liberation Serif"/>
          <w:color w:val="FF000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center"/>
        <w:outlineLvl w:val="1"/>
        <w:rPr>
          <w:rFonts w:ascii="Liberation Serif" w:hAnsi="Liberation Serif"/>
          <w:b/>
          <w:b/>
          <w:sz w:val="28"/>
          <w:szCs w:val="28"/>
        </w:rPr>
      </w:pPr>
      <w:bookmarkStart w:id="12" w:name="Par204"/>
      <w:bookmarkEnd w:id="12"/>
      <w:r>
        <w:rPr>
          <w:rFonts w:ascii="Liberation Serif" w:hAnsi="Liberation Serif"/>
          <w:b/>
          <w:sz w:val="28"/>
          <w:szCs w:val="28"/>
        </w:rPr>
        <w:t>Глава 10. Требования к составлению и предоставлению отчетности о результатах контрольных мероприятий</w:t>
      </w:r>
    </w:p>
    <w:p>
      <w:pPr>
        <w:pStyle w:val="Normal"/>
        <w:widowControl w:val="false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72.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финансовое управление составляет отчет о результатах работы по контролю (далее – отчет по контролю).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73. В состав отчета финансового управления включаются форма отчета о результатах проведения контрольных мероприятий и пояснительная записка.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74. К результатам контрольных мероприятий, подлежащих обязательному раскрытию в форме отчета, относятся (если иное не установлено нормативными правовыми актами):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начисленные штрафы в количественном и денежном выражении по видам нарушений;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количество материалов, направленных в правоохранительные органы, и сумма  финансовых нарушений всего и по видам нарушений;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объем проверенных средств местного бюджета.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75. В пояснительной записке приводятся более подробные сведения об основных направлениях контрольной деятельности финансового управления включая: 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количество должностных лиц, осуществляющих деятельность по контролю;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меры по повышению их квалификации, обеспеченность ресурсами, основными фондами и их техническое состояние;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иную информацию о событиях, оказавших существенное влияние на осуществление деятельности по контролю.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76.</w:t>
        <w:tab/>
        <w:t xml:space="preserve">Отчет финансового управления утверждается начальником финансового управления, подписывается начальником отдела контроля и направляется главе Камышловского городского округа в срок до 1 марта года, следующего за отчетным годом. 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77. Результаты проведения контрольных мероприятий размещаются на официальном сайте финансового управления в информационно-телекоммуникационной сети «Интернет», а также в единой информационной системе в сфере закупок в порядке, установленном законодательством Российской Федерации».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/>
      </w:pPr>
      <w:r>
        <w:rPr/>
      </w:r>
    </w:p>
    <w:sectPr>
      <w:headerReference w:type="default" r:id="rId5"/>
      <w:type w:val="nextPage"/>
      <w:pgSz w:w="11906" w:h="16838"/>
      <w:pgMar w:left="1701" w:right="567" w:header="1134" w:top="1559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18242009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15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)"/>
      <w:lvlJc w:val="left"/>
      <w:pPr>
        <w:ind w:left="129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0b9b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95496e"/>
    <w:pPr>
      <w:keepNext w:val="true"/>
      <w:suppressAutoHyphens w:val="false"/>
      <w:spacing w:lineRule="auto" w:line="259" w:before="240" w:after="60"/>
      <w:textAlignment w:val="auto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95496e"/>
    <w:pPr>
      <w:keepNext w:val="true"/>
      <w:suppressAutoHyphens w:val="false"/>
      <w:spacing w:lineRule="auto" w:line="259"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Normal"/>
    <w:next w:val="Normal"/>
    <w:link w:val="30"/>
    <w:unhideWhenUsed/>
    <w:qFormat/>
    <w:rsid w:val="0095496e"/>
    <w:pPr>
      <w:keepNext w:val="true"/>
      <w:suppressAutoHyphens w:val="false"/>
      <w:spacing w:lineRule="auto" w:line="259" w:before="240" w:after="60"/>
      <w:textAlignment w:val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95496e"/>
    <w:pPr>
      <w:keepNext w:val="true"/>
      <w:suppressAutoHyphens w:val="false"/>
      <w:spacing w:lineRule="auto" w:line="259" w:before="240" w:after="60"/>
      <w:textAlignment w:val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5496e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95496e"/>
    <w:rPr>
      <w:rFonts w:ascii="Cambria" w:hAnsi="Cambria" w:eastAsia="Times New Roman"/>
      <w:b/>
      <w:bCs/>
      <w:i/>
      <w:iCs/>
      <w:sz w:val="28"/>
      <w:szCs w:val="28"/>
      <w:lang w:eastAsia="en-US"/>
    </w:rPr>
  </w:style>
  <w:style w:type="character" w:styleId="31" w:customStyle="1">
    <w:name w:val="Заголовок 3 Знак"/>
    <w:basedOn w:val="DefaultParagraphFont"/>
    <w:link w:val="3"/>
    <w:qFormat/>
    <w:rsid w:val="0095496e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95496e"/>
    <w:rPr>
      <w:rFonts w:eastAsia="Times New Roman"/>
      <w:b/>
      <w:bCs/>
      <w:sz w:val="28"/>
      <w:szCs w:val="28"/>
      <w:lang w:eastAsia="en-US"/>
    </w:rPr>
  </w:style>
  <w:style w:type="character" w:styleId="Style10" w:customStyle="1">
    <w:name w:val="Название Знак"/>
    <w:basedOn w:val="DefaultParagraphFont"/>
    <w:link w:val="a3"/>
    <w:uiPriority w:val="99"/>
    <w:qFormat/>
    <w:rsid w:val="0095496e"/>
    <w:rPr>
      <w:rFonts w:ascii="Times New Roman" w:hAnsi="Times New Roman" w:eastAsia="Times New Roman"/>
      <w:sz w:val="28"/>
      <w:szCs w:val="28"/>
      <w:u w:val="single"/>
    </w:rPr>
  </w:style>
  <w:style w:type="character" w:styleId="Strong">
    <w:name w:val="Strong"/>
    <w:basedOn w:val="DefaultParagraphFont"/>
    <w:uiPriority w:val="22"/>
    <w:qFormat/>
    <w:rsid w:val="0095496e"/>
    <w:rPr>
      <w:b/>
      <w:bCs/>
    </w:rPr>
  </w:style>
  <w:style w:type="character" w:styleId="Style11" w:customStyle="1">
    <w:name w:val="Текст выноски Знак"/>
    <w:basedOn w:val="DefaultParagraphFont"/>
    <w:link w:val="a9"/>
    <w:uiPriority w:val="99"/>
    <w:semiHidden/>
    <w:qFormat/>
    <w:rsid w:val="00190b9b"/>
    <w:rPr>
      <w:rFonts w:ascii="Tahoma" w:hAnsi="Tahoma" w:eastAsia="Times New Roman" w:cs="Tahoma"/>
      <w:sz w:val="16"/>
      <w:szCs w:val="16"/>
    </w:rPr>
  </w:style>
  <w:style w:type="character" w:styleId="Style12" w:customStyle="1">
    <w:name w:val="Верхний колонтитул Знак"/>
    <w:basedOn w:val="DefaultParagraphFont"/>
    <w:link w:val="ab"/>
    <w:uiPriority w:val="99"/>
    <w:qFormat/>
    <w:rsid w:val="00b30d64"/>
    <w:rPr>
      <w:rFonts w:ascii="Times New Roman" w:hAnsi="Times New Roman" w:eastAsia="Times New Roman"/>
      <w:sz w:val="24"/>
      <w:szCs w:val="24"/>
    </w:rPr>
  </w:style>
  <w:style w:type="character" w:styleId="Style13" w:customStyle="1">
    <w:name w:val="Нижний колонтитул Знак"/>
    <w:basedOn w:val="DefaultParagraphFont"/>
    <w:link w:val="ad"/>
    <w:uiPriority w:val="99"/>
    <w:semiHidden/>
    <w:qFormat/>
    <w:rsid w:val="00b30d64"/>
    <w:rPr>
      <w:rFonts w:ascii="Times New Roman" w:hAnsi="Times New Roman" w:eastAsia="Times New Roman"/>
      <w:sz w:val="24"/>
      <w:szCs w:val="24"/>
    </w:rPr>
  </w:style>
  <w:style w:type="character" w:styleId="Style14">
    <w:name w:val="Интернет-ссылка"/>
    <w:basedOn w:val="DefaultParagraphFont"/>
    <w:uiPriority w:val="99"/>
    <w:semiHidden/>
    <w:unhideWhenUsed/>
    <w:rsid w:val="00e53968"/>
    <w:rPr>
      <w:color w:val="0000FF"/>
      <w:u w:val="single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12">
    <w:name w:val="TOC 1"/>
    <w:basedOn w:val="Normal"/>
    <w:next w:val="Normal"/>
    <w:autoRedefine/>
    <w:uiPriority w:val="39"/>
    <w:unhideWhenUsed/>
    <w:qFormat/>
    <w:rsid w:val="0095496e"/>
    <w:pPr>
      <w:suppressAutoHyphens w:val="false"/>
      <w:spacing w:lineRule="auto" w:line="276" w:before="0" w:after="100"/>
      <w:textAlignment w:val="auto"/>
    </w:pPr>
    <w:rPr>
      <w:sz w:val="28"/>
      <w:szCs w:val="22"/>
      <w:lang w:eastAsia="en-US"/>
    </w:rPr>
  </w:style>
  <w:style w:type="paragraph" w:styleId="22">
    <w:name w:val="TOC 2"/>
    <w:basedOn w:val="Normal"/>
    <w:next w:val="Normal"/>
    <w:autoRedefine/>
    <w:uiPriority w:val="39"/>
    <w:unhideWhenUsed/>
    <w:qFormat/>
    <w:rsid w:val="0095496e"/>
    <w:pPr>
      <w:tabs>
        <w:tab w:val="clear" w:pos="708"/>
        <w:tab w:val="right" w:pos="9627" w:leader="dot"/>
      </w:tabs>
      <w:suppressAutoHyphens w:val="false"/>
      <w:spacing w:lineRule="auto" w:line="276" w:before="0" w:after="100"/>
      <w:ind w:left="220" w:hanging="0"/>
      <w:textAlignment w:val="auto"/>
    </w:pPr>
    <w:rPr>
      <w:sz w:val="28"/>
      <w:szCs w:val="22"/>
      <w:lang w:eastAsia="en-US"/>
    </w:rPr>
  </w:style>
  <w:style w:type="paragraph" w:styleId="32">
    <w:name w:val="TOC 3"/>
    <w:basedOn w:val="Normal"/>
    <w:next w:val="Normal"/>
    <w:autoRedefine/>
    <w:uiPriority w:val="39"/>
    <w:unhideWhenUsed/>
    <w:qFormat/>
    <w:rsid w:val="0095496e"/>
    <w:pPr>
      <w:suppressAutoHyphens w:val="false"/>
      <w:spacing w:lineRule="auto" w:line="276" w:before="0" w:after="100"/>
      <w:ind w:left="440" w:hanging="0"/>
      <w:textAlignment w:val="auto"/>
    </w:pPr>
    <w:rPr>
      <w:sz w:val="28"/>
      <w:szCs w:val="22"/>
      <w:lang w:eastAsia="en-US"/>
    </w:rPr>
  </w:style>
  <w:style w:type="paragraph" w:styleId="Style21">
    <w:name w:val="Title"/>
    <w:basedOn w:val="Normal"/>
    <w:link w:val="a4"/>
    <w:uiPriority w:val="99"/>
    <w:qFormat/>
    <w:rsid w:val="0095496e"/>
    <w:pPr>
      <w:suppressAutoHyphens w:val="false"/>
      <w:jc w:val="center"/>
      <w:textAlignment w:val="auto"/>
    </w:pPr>
    <w:rPr>
      <w:sz w:val="28"/>
      <w:szCs w:val="28"/>
      <w:u w:val="single"/>
    </w:rPr>
  </w:style>
  <w:style w:type="paragraph" w:styleId="NoSpacing">
    <w:name w:val="No Spacing"/>
    <w:uiPriority w:val="1"/>
    <w:qFormat/>
    <w:rsid w:val="0095496e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95496e"/>
    <w:pPr>
      <w:suppressAutoHyphens w:val="false"/>
      <w:spacing w:lineRule="auto" w:line="276" w:before="0" w:after="200"/>
      <w:ind w:left="720" w:hanging="0"/>
      <w:contextualSpacing/>
      <w:textAlignment w:val="auto"/>
    </w:pPr>
    <w:rPr>
      <w:rFonts w:ascii="Calibri" w:hAnsi="Calibri" w:eastAsia="Calibri"/>
      <w:sz w:val="22"/>
      <w:szCs w:val="22"/>
      <w:lang w:eastAsia="en-US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95496e"/>
    <w:pPr>
      <w:keepLines/>
      <w:spacing w:lineRule="auto" w:line="276" w:before="480" w:after="0"/>
    </w:pPr>
    <w:rPr>
      <w:color w:val="365F91"/>
      <w:kern w:val="0"/>
      <w:sz w:val="28"/>
      <w:szCs w:val="28"/>
      <w:lang w:eastAsia="en-US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190b9b"/>
    <w:pPr/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rsid w:val="00190b9b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ConsPlusNormal" w:customStyle="1">
    <w:name w:val="ConsPlusNormal"/>
    <w:qFormat/>
    <w:rsid w:val="0064021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c"/>
    <w:uiPriority w:val="99"/>
    <w:unhideWhenUsed/>
    <w:rsid w:val="00b30d6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e"/>
    <w:uiPriority w:val="99"/>
    <w:semiHidden/>
    <w:unhideWhenUsed/>
    <w:rsid w:val="00b30d6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8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A446E603619FEB58B3D0B65EDD5CEED730409C6D7648461D4A02082D9884E3318B37D33464FEY7EDD" TargetMode="External"/><Relationship Id="rId4" Type="http://schemas.openxmlformats.org/officeDocument/2006/relationships/hyperlink" Target="consultantplus://offline/ref=A446E603619FEB58B3D0B65EDD5CEED7304193647C47461D4A02082D9884E3318B37D33663FC7B33YCEBD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9228D-8980-4986-B7F0-B7E7773A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Application>LibreOffice/6.3.4.2$Windows_X86_64 LibreOffice_project/60da17e045e08f1793c57c00ba83cdfce946d0aa</Application>
  <Pages>11</Pages>
  <Words>4105</Words>
  <Characters>30712</Characters>
  <CharactersWithSpaces>34734</CharactersWithSpaces>
  <Paragraphs>196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2018-12-29T03:55:00Z</dcterms:created>
  <dc:creator>Пульников</dc:creator>
  <dc:description/>
  <dc:language>ru-RU</dc:language>
  <cp:lastModifiedBy/>
  <cp:lastPrinted>2020-03-06T08:27:20Z</cp:lastPrinted>
  <dcterms:modified xsi:type="dcterms:W3CDTF">2020-03-06T08:35:17Z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