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08"/>
          <w:tab w:val="left" w:pos="142" w:leader="none"/>
        </w:tabs>
        <w:ind w:left="0" w:right="-34" w:hanging="0"/>
        <w:jc w:val="center"/>
        <w:rPr/>
      </w:pPr>
      <w:r>
        <w:rPr>
          <w:rStyle w:val="Style9"/>
        </w:rPr>
        <w:t xml:space="preserve"> </w:t>
      </w:r>
      <w:r>
        <w:rPr/>
        <w:drawing>
          <wp:inline distT="0" distB="0" distL="0" distR="0">
            <wp:extent cx="48514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66" t="-431" r="-666" b="-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от 03.02.2020  N 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60</w:t>
      </w:r>
    </w:p>
    <w:p>
      <w:pPr>
        <w:pStyle w:val="ConsPlusTitle"/>
        <w:widowControl/>
        <w:jc w:val="center"/>
        <w:rPr>
          <w:rStyle w:val="Style9"/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</w:pPr>
      <w:r>
        <w:rPr/>
      </w:r>
    </w:p>
    <w:p>
      <w:pPr>
        <w:pStyle w:val="ConsPlusTitle"/>
        <w:widowControl/>
        <w:jc w:val="center"/>
        <w:rPr>
          <w:rStyle w:val="Style9"/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24.12.2019 № 444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 (далее программа), следующие изменения (прилагается):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2318024030,99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173407216,00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256087045,82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13244400,00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1131017441,53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82716900,00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922169343,64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145817890,20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8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77445916,00</w:t>
      </w:r>
    </w:p>
    <w:p>
      <w:pPr>
        <w:pStyle w:val="ConsPlusCell"/>
        <w:tabs>
          <w:tab w:val="clear" w:pos="708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2)</w:t>
      </w:r>
      <w:r>
        <w:rPr>
          <w:rStyle w:val="Style9"/>
          <w:rFonts w:ascii="Liberation Serif" w:hAnsi="Liberation Serif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Разработка проектно-сметной докуметации и экспертиза объектов капитального строительства</w:t>
      </w:r>
      <w:r>
        <w:rPr>
          <w:rStyle w:val="Style9"/>
          <w:rFonts w:ascii="Liberation Serif" w:hAnsi="Liberation Serif"/>
          <w:sz w:val="28"/>
          <w:szCs w:val="28"/>
        </w:rPr>
        <w:t>» в 2019 году сумму «15081626,00 руб.» заменить на сумму «13841295,00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Проведение землеустроительных работ по списанию местоположения границ территориальных зон и границы Камышловского городского округа</w:t>
      </w:r>
      <w:r>
        <w:rPr>
          <w:rStyle w:val="Style9"/>
          <w:rFonts w:ascii="Liberation Serif" w:hAnsi="Liberation Serif"/>
          <w:sz w:val="28"/>
          <w:szCs w:val="28"/>
        </w:rPr>
        <w:t>» в 2019 году сумму «400000,00 руб.» заменить на сумму «188600,00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«17291526,00 руб.» заменить на сумму «15839795,00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sz w:val="28"/>
          <w:szCs w:val="28"/>
        </w:rPr>
        <w:t>3)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 «Охрана окружающей среды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«Ликвидация несанкционированных свалок» в 2019 году сумму «2543347,92 руб.» заменить на сумму «2492284,83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«Осуществление государственного полномочия СО в сфере организации мероприятий при осуществлении деятельности по обращению с собаками без владельцев» в 2019 году сумму «611400,00 руб.» заменить на сумму «848800,00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«3578747,92 руб.» заменить на сумму «3765084,83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4) В подпрограмме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«Подготовка и содержание в готовности необходимых сил и средств для защиты населения и территории от чрезвычайных ситуаций» в 2019 году сумму «1444760,00 руб.» заменить на сумму «1312760,00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«1590207,84 руб.» заменить на сумму «1458207,84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5)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b w:val="false"/>
          <w:sz w:val="28"/>
          <w:szCs w:val="28"/>
        </w:rPr>
        <w:t>В подпрограмме ««Благоустройство и озеленение Камышловского городского округа»: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благоустройства и озеленение на территории Камышловского городского округа» в 2019 году сумму «5024240,32 руб.» заменить на сумму «4604877,19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и содержание мест захоронения на территории Камышловского городского округа» в 2019 году сумму «1754417,04 руб.» заменить на сумму «1821847,43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уличного освещения» в 2019 году сумму «8800000,00 руб.» заменить на сумму «8701110,32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«Обрезка, валка, выкорчевка, вывоз деревьев, создающих угрозу возникновения чрезвычайных ситуаций на территории Камышловского городского округа» в 2019 году сумму «1038184,00 руб.» заменить на сумму «793984,77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мероприятием «Мероприятия в сфере обращения с твердыми коммунальными отходами» в 2019 году сумма «617869,97 руб.», в т.ч. областной бюджет «611900,00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«16616841,36 руб.» заменить на сумму «16539689,68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6)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деятельности муниципальных учреждений» в 2019 году сумму «19291071,68 руб.» заменить на сумму «19290124,54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«19406571,68 руб.» заменить на сумму «19405624,54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7) В подпрограмме «Ремонт муниципального жилого фонда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«Ремонт муниципальных квартир» в 2019 году сумму «837601,60 руб.» заменить на сумму «405379,02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«Уплата взноса на капитальный ремонт общего имущества в многоквартирных домах» в 2019 году сумму «1571250,48 руб.» заменить на сумму «1968858,64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«2708852,08 руб.» заменить на сумму «2674237,66 руб.».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6"/>
        <w:widowControl w:val="false"/>
        <w:suppressAutoHyphens w:val="true"/>
        <w:overflowPunct w:val="false"/>
        <w:autoSpaceDE w:val="false"/>
        <w:ind w:left="0" w:right="0" w:firstLine="737"/>
        <w:jc w:val="both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6"/>
        <w:widowControl w:val="false"/>
        <w:jc w:val="center"/>
        <w:rPr>
          <w:rStyle w:val="Style9"/>
          <w:rFonts w:cs="Times New Roman"/>
          <w:b w:val="false"/>
          <w:b w:val="false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Style w:val="Style9"/>
          <w:rFonts w:cs="Times New Roman"/>
          <w:b w:val="false"/>
          <w:b w:val="false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Глава</w:t>
      </w:r>
    </w:p>
    <w:p>
      <w:pPr>
        <w:pStyle w:val="Style26"/>
        <w:widowControl w:val="false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6"/>
        <w:widowControl w:val="false"/>
        <w:jc w:val="center"/>
        <w:rPr>
          <w:rStyle w:val="Style9"/>
          <w:rFonts w:cs="Times New Roman"/>
          <w:b w:val="false"/>
          <w:b w:val="false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35" w:type="dxa"/>
        <w:jc w:val="left"/>
        <w:tblInd w:w="-141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3720"/>
        <w:gridCol w:w="6015"/>
      </w:tblGrid>
      <w:tr>
        <w:trPr>
          <w:trHeight w:val="400" w:hRule="atLeast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 (в т.ч. экспертиза сметной документации)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153,4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883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75.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88.Количество проведенных заседаний антитеррористической комиссии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115.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2318024030,99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173407216,00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256087045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13244400,00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1131017441,53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82716900,00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922169343,64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145817890,20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77445916,00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3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6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6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врезки"/>
    <w:basedOn w:val="Normal"/>
    <w:qFormat/>
    <w:pPr/>
    <w:rPr/>
  </w:style>
  <w:style w:type="paragraph" w:styleId="Style4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28</Pages>
  <Words>4591</Words>
  <CharactersWithSpaces>40608</CharactersWithSpaces>
  <Paragraphs>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2020-01-28T04:56:00Z</dcterms:created>
  <dc:creator>отдел экономики</dc:creator>
  <dc:description/>
  <dc:language>ru-RU</dc:language>
  <cp:lastModifiedBy/>
  <cp:lastPrinted>2020-02-03T11:24:46Z</cp:lastPrinted>
  <dcterms:modified xsi:type="dcterms:W3CDTF">2020-02-03T11:25:13Z</dcterms:modified>
  <cp:revision>5</cp:revision>
  <dc:subject/>
  <dc:title/>
</cp:coreProperties>
</file>