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7"/>
        <w:jc w:val="center"/>
        <w:rPr/>
      </w:pPr>
      <w:r>
        <w:rPr>
          <w:rStyle w:val="Style10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7"/>
        <w:spacing w:lineRule="auto" w:line="240" w:before="0" w:after="0"/>
        <w:jc w:val="center"/>
        <w:rPr/>
      </w:pPr>
      <w:r>
        <w:rPr>
          <w:rStyle w:val="Style10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47"/>
        <w:spacing w:lineRule="auto" w:line="240"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47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47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4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07.06.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2022 N 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4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7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3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firstLine="709"/>
        <w:jc w:val="center"/>
        <w:rPr>
          <w:rStyle w:val="Style10"/>
          <w:rFonts w:eastAsia="Times New Roman"/>
          <w:i w:val="false"/>
          <w:i w:val="false"/>
          <w:iCs w:val="false"/>
          <w:lang w:val="ru-RU" w:eastAsia="ru-RU" w:bidi="ar-SA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-2"/>
          <w:sz w:val="28"/>
          <w:szCs w:val="28"/>
          <w:lang w:val="ru-RU" w:eastAsia="ru-RU"/>
        </w:rPr>
      </w:r>
    </w:p>
    <w:p>
      <w:pPr>
        <w:pStyle w:val="Normal"/>
        <w:widowControl/>
        <w:shd w:fill="FFFFFF" w:val="clear"/>
        <w:spacing w:lineRule="auto" w:line="240" w:before="0" w:after="0"/>
        <w:ind w:left="0" w:right="0" w:firstLine="709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-2"/>
          <w:sz w:val="28"/>
          <w:szCs w:val="28"/>
          <w:lang w:val="ru-RU" w:eastAsia="ru-RU"/>
        </w:rPr>
      </w:pPr>
      <w:r>
        <w:rPr>
          <w:rStyle w:val="Style10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2"/>
          <w:sz w:val="28"/>
          <w:szCs w:val="28"/>
          <w:lang w:val="ru-RU" w:eastAsia="ru-RU" w:bidi="ar-SA"/>
        </w:rPr>
        <w:t>Об утверждении</w:t>
      </w:r>
      <w:r>
        <w:rPr>
          <w:rStyle w:val="Style10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2"/>
          <w:sz w:val="28"/>
          <w:szCs w:val="28"/>
          <w:lang w:val="ru-RU" w:eastAsia="ru-RU"/>
        </w:rPr>
        <w:t xml:space="preserve"> План</w:t>
      </w:r>
      <w:r>
        <w:rPr>
          <w:rStyle w:val="Style10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2"/>
          <w:sz w:val="28"/>
          <w:szCs w:val="28"/>
          <w:lang w:val="ru-RU" w:eastAsia="ru-RU"/>
        </w:rPr>
        <w:t>а</w:t>
      </w:r>
      <w:r>
        <w:rPr>
          <w:rStyle w:val="Style10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2"/>
          <w:sz w:val="28"/>
          <w:szCs w:val="28"/>
          <w:lang w:val="ru-RU" w:eastAsia="ru-RU"/>
        </w:rPr>
        <w:t xml:space="preserve"> мероприятий («дорожной карты») по содействию развитию конкуренции в Камышловском городском округе на период 2022-2025 годов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firstLine="709"/>
        <w:jc w:val="center"/>
        <w:rPr>
          <w:rStyle w:val="Style10"/>
          <w:rFonts w:ascii="Liberation Serif;Times New Roman" w:hAnsi="Liberation Serif;Times New Roman" w:eastAsia="Times New Roman"/>
          <w:i w:val="false"/>
          <w:i w:val="false"/>
          <w:iCs w:val="false"/>
          <w:color w:val="000000"/>
          <w:spacing w:val="-2"/>
          <w:lang w:val="ru-RU" w:eastAsia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-2"/>
          <w:sz w:val="28"/>
          <w:szCs w:val="28"/>
          <w:lang w:val="ru-RU" w:eastAsia="ru-RU"/>
        </w:rPr>
      </w:r>
    </w:p>
    <w:p>
      <w:pPr>
        <w:pStyle w:val="Normal"/>
        <w:widowControl/>
        <w:shd w:fill="FFFFFF" w:val="clear"/>
        <w:spacing w:lineRule="auto" w:line="240" w:before="0" w:after="0"/>
        <w:ind w:left="0" w:right="0" w:firstLine="709"/>
        <w:jc w:val="center"/>
        <w:rPr>
          <w:rStyle w:val="Style10"/>
          <w:rFonts w:ascii="Liberation Serif;Times New Roman" w:hAnsi="Liberation Serif;Times New Roman" w:eastAsia="Times New Roman"/>
          <w:i w:val="false"/>
          <w:i w:val="false"/>
          <w:iCs w:val="false"/>
          <w:color w:val="000000"/>
          <w:spacing w:val="-2"/>
          <w:lang w:val="ru-RU" w:eastAsia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-2"/>
          <w:sz w:val="28"/>
          <w:szCs w:val="28"/>
          <w:lang w:val="ru-RU"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21 декабря 2017 года № 618 «Об основных направлениях государственной политики по развитию конкуренции», стандартом развития конкуренции в субъектах Российской Федерации, утвержденным распоряжением Правительства Российской Федерации от 02.09.2021 №2424-р, Указом Губернатора Свердловской области от 29.10.2019 года № 524-УГ «О внедрении на территории Свердловской области стандарта развития конкуренции в субъектах Российской Федерации», 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распоряжением </w:t>
      </w:r>
      <w:r>
        <w:rPr>
          <w:rFonts w:eastAsia="Calibri" w:cs="Liberation Serif;Times New Roman" w:ascii="Liberation Serif;Times New Roman" w:hAnsi="Liberation Serif;Times New Roman"/>
          <w:color w:val="000000"/>
          <w:spacing w:val="5"/>
          <w:sz w:val="28"/>
          <w:szCs w:val="28"/>
          <w:lang w:val="ru-RU" w:bidi="ar-SA"/>
        </w:rPr>
        <w:t>Губернатора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 Свердловской области от 28.12.2021 года №249-РГ «Об утверждении Плана мероприятий («дорожной карты») по содействию развитию конкуренции в Свердловской области на период 2022-2025 годов», руководствуясь Уставом Камышловского городского округа, администрация Камышловского городского округа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1. Утвердить План мероприятий («дорожной карты») по содействию развитию конкуренции в Камышловском городском округе, на период 2022-2025 годов» (прилагается).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pacing w:val="-2"/>
          <w:sz w:val="28"/>
          <w:szCs w:val="28"/>
        </w:rPr>
        <w:t>2. Признать утратившим силу постановление администрации Камышловского городского округа от 29.01.2020 №47 «Об утверждении перечня товарных рынков для содействия развитию конкуренции в Камышловском городском округе и Плана мероприятий («дорожной карты») по содействию развития конкуренции в Камышловском городском округе на период 2020-2022 годов».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7"/>
          <w:szCs w:val="27"/>
        </w:rPr>
        <w:t xml:space="preserve">3. </w:t>
      </w:r>
      <w:r>
        <w:rPr>
          <w:rFonts w:cs="Liberation Serif;Times New Roman" w:ascii="Liberation Serif;Times New Roman" w:hAnsi="Liberation Serif;Times New Roman"/>
          <w:color w:val="000000"/>
          <w:sz w:val="27"/>
          <w:szCs w:val="27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;Times New Roman" w:hAnsi="Liberation Serif;Times New Roman" w:cs="Liberation Serif;Times New Roman"/>
          <w:sz w:val="27"/>
          <w:szCs w:val="27"/>
        </w:rPr>
      </w:pPr>
      <w:r>
        <w:rPr>
          <w:rFonts w:cs="Liberation Serif;Times New Roman" w:ascii="Liberation Serif;Times New Roman" w:hAnsi="Liberation Serif;Times New Roman"/>
          <w:sz w:val="27"/>
          <w:szCs w:val="27"/>
        </w:rPr>
        <w:t>4.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/>
          <w:sz w:val="22"/>
          <w:szCs w:val="22"/>
        </w:rPr>
      </w:r>
    </w:p>
    <w:p>
      <w:pPr>
        <w:pStyle w:val="Normal"/>
        <w:tabs>
          <w:tab w:val="clear" w:pos="708"/>
          <w:tab w:val="left" w:pos="8574" w:leader="none"/>
        </w:tabs>
        <w:spacing w:lineRule="auto" w:line="240" w:before="0" w:after="0"/>
        <w:ind w:left="0" w:right="0" w:hanging="0"/>
        <w:rPr>
          <w:rFonts w:ascii="Liberation Serif" w:hAnsi="Liberation Serif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И.о. главы администрации</w:t>
      </w:r>
    </w:p>
    <w:p>
      <w:pPr>
        <w:pStyle w:val="Normal"/>
        <w:tabs>
          <w:tab w:val="clear" w:pos="708"/>
          <w:tab w:val="left" w:pos="8574" w:leader="none"/>
        </w:tabs>
        <w:spacing w:lineRule="auto" w:line="240" w:before="0" w:after="0"/>
        <w:ind w:left="0" w:right="0" w:hanging="0"/>
        <w:rPr>
          <w:rFonts w:ascii="Liberation Serif" w:hAnsi="Liberation Serif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К.Е. Мартьянов</w:t>
      </w:r>
    </w:p>
    <w:p>
      <w:pPr>
        <w:pStyle w:val="Normal"/>
        <w:tabs>
          <w:tab w:val="clear" w:pos="708"/>
          <w:tab w:val="left" w:pos="8574" w:leader="none"/>
        </w:tabs>
        <w:spacing w:lineRule="auto" w:line="240" w:before="0" w:after="0"/>
        <w:ind w:left="0" w:right="0" w:hanging="0"/>
        <w:rPr>
          <w:rFonts w:ascii="Liberation Serif" w:hAnsi="Liberation Serif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"/>
        <w:bidi w:val="0"/>
        <w:jc w:val="both"/>
        <w:rPr>
          <w:rFonts w:ascii="Liberation Serif" w:hAnsi="Liberation Serif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Камышловского городского округа</w:t>
      </w:r>
    </w:p>
    <w:p>
      <w:pPr>
        <w:pStyle w:val="Normal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от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07.06.2022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№ </w:t>
      </w:r>
      <w:r>
        <w:rPr>
          <w:rFonts w:eastAsia="Calibri" w:cs="Liberation Serif;Times New Roman" w:ascii="Liberation Serif;Times New Roman" w:hAnsi="Liberation Serif;Times New Roman"/>
          <w:color w:val="auto"/>
          <w:sz w:val="24"/>
          <w:szCs w:val="24"/>
          <w:lang w:val="ru-RU" w:eastAsia="zh-CN" w:bidi="ar-SA"/>
        </w:rPr>
        <w:t>473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мероприятий («дорожная карта») по содействию развитию конкуренции 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округе, на период 2022-2025 годов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Таблица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Мероприятия по содействию развитию конкуренции на товарных рынках </w:t>
      </w:r>
      <w:r>
        <w:rPr>
          <w:rFonts w:eastAsia="Calibri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  <w:t>Камышовского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tbl>
      <w:tblPr>
        <w:tblW w:w="5000" w:type="pct"/>
        <w:jc w:val="left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3795"/>
        <w:gridCol w:w="3475"/>
        <w:gridCol w:w="859"/>
        <w:gridCol w:w="970"/>
        <w:gridCol w:w="961"/>
        <w:gridCol w:w="1059"/>
        <w:gridCol w:w="2809"/>
      </w:tblGrid>
      <w:tr>
        <w:trPr>
          <w:cantSplit w:val="true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мероприятий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cantSplit w:val="true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год</w:t>
            </w:r>
          </w:p>
        </w:tc>
        <w:tc>
          <w:tcPr>
            <w:tcW w:w="2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25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8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универсальных ярмарок (в т.ч. с реализацией сельскохозяйственной продукции)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Розничная торговля – один из наиболее развитых сегментов потребительского рынка. Подавляющее большинство действующих организаций торговли относится к числу субъектов малого и среднего предпринимательства. В настоящее время на территории Камышловского городского округа действуют 381 объект торговли, 37 объектов общественного питания, 111 объектов бытового обслуживания населения. Обеспеченность торговыми площадями на 1000 жителей на 01.01.2022 г. составила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1196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м2 (при нормативе, минимальной обеспеченности утвержденном Приказом Министерства агропромышленного комплекса и продовольствия Свердловской области № 290 от 16.07.2019 г.- 506,5 м2).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В сфере потребительского рынка на территории Камышловского городского округа работают крупные торговые сети:</w:t>
            </w:r>
          </w:p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«Монетка», «Магнит», «Магнит - косметик», «Пятерочка», «DNS», 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RBT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», «Красное и белое», «Светофор», «Верный», «Доброцен»,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с 2009 года традиционно проводятся сельскохозяйственные ярмарки. В соответствии с Планом организации и проведения сельскохозяйственные ярмарки проводятся ежеквартально. Принимают участие производители, занимающиеся выращиванием сельскохозяйственной продукции, в широком ассортименте реализуются продовольственные товары, продукты питания, продукция пчеловодства, кондитерские и хлебобулочные изделия, молочная продукция, а также изделия народных промыслов и многое другое. В 2021 году в связи с ситуацией по пандемии коронавируса проведено 3 ярмарки: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23.05.2021 года состоялась Тихоновская ярмарка, в которой приняли участие 22 ярмарочника.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05.09.2021 года состоялась Покровская ярмарка, в которой приняли участие 29 ярмарочников.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19.12.2021 года состоялась Рождественская ярмарка, в которой приняли участие 41 участник.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Появление торговых сетей на территории города ограничивает возможности развития малого предпринимательства.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Проведение ярмарок для реализации сельхозпродукции товаропроизводителей.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shd w:fill="FFFFFF" w:val="clear"/>
              </w:rPr>
              <w:t>2.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  <w:shd w:fill="FFFF00" w:val="clear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shd w:fill="FFFF00" w:val="clear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Формирование ежегодного плана организации и проведения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утверждение ежегодного плана организации и проведения ярмарок на территории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привлечение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сельскохозяйственных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организаций к реализации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сельскохозяйственной продукции на ярмарочных мероприятиях, количество ярмарок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2. Рынок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дорожной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(за исключением проектирования)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муниципальной программой «Развитие социально-экономического комплекса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на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2021-2027 годы», утвержденной постановлением главы Камышловского ГО от 09.11.2018 г. № 965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, и уставом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муниципального казенного учреждения 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полномочия муниципального заказчика по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Федерации. По состоянию на 1 января 2022 года по контрактам, заключенным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, доля присутствия частного бизнеса в отрасли строительства, реконструкции, ремонтных работ, работ по содержанию автомобильных дорог составляет 100%.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Основные проблемы.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Насыщенность рынка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Ограниченное количество квалифицированных специалистов на рынке.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Недостаточное финансирование дорожной деятельности относительно нормативной потребности.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Увеличение финансирования дорожной деятельности за счет средств областного бюджета.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Повышение качества оказания услуг.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Мониторинг исполнения обязательств по заключенному контракту по выполнению работ, оказанию услуг и качества выполнения в соответствии с условиями контракта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завершенных контрактов с исполнением выполненных работ, оказанием услуг, соответствующие условиям контракта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МКУ «Центр обеспечения деятельности администрации Камышловского городского округа»,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3.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кадастровых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деятельности»). В Камышловском городском округе на рынке кадастровых и землеустроительных работ осуществляют деятельность организации частного сектора.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Администрацией Камышловского городского округа за 20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 оформлено право собственности на 72 объекта недвижимого имущества.  Постановка на кадастровый учет и инвентаризация объектов была осуществлена на основании муниципальных контрактов, заключенных с филиалом СОГУП «Камышловское БТИ», что обеспечило высокое качество выполненных работ. В течении 2021 года было проведено межевание, постановка на кадастровый учет и регистрация права собственности на 21 земельный участок, расположенных на территории Камышловского городского округа. 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Низкое качество кадастровых работ.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Наличие незарегистрированных объектов недвижимости.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Повышение требований к исполнителям работ при заключении государственных контрактов.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Выявление неоформленных объектов недвижимости в целях обеспечения проведения в отношении них кадастровых работ.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незарегистрированных объектов недвижимости, находящихся в собственности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увеличение доли зарегистрированных объектов недвижимости, от общего числа объектов, находящихся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в собственности,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собственников неучтенных, незарегистрированных объектов недвижимости (бесхозяйных объектов недвижимости)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незарегистрированных объектов недвижимости,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4.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(производство тепловой энергии)</w:t>
            </w:r>
          </w:p>
        </w:tc>
      </w:tr>
      <w:tr>
        <w:trPr>
          <w:trHeight w:val="818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По состоянию на 1 января 2022 года на рынке теплоснабжения Камышловского городского округа осуществляют деятельность 5 теплоснабжающих организаций, из них 2 организации частной формы собственности (40% от общего количества организаций на рынке). Отпуск тепловой энергии теплоснабжающими организациями производится от 28 отопительных котельных суммарной мощностью 148,65 Гкал/час, из которых 7% от общего числа котельных являются частными. На природном газе работают 9 котельных (32,1%), на угле – 19 котельных (67,9%).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 xml:space="preserve">В целях реализации положений Федерального закона от 27 июля 2010 года № 190-ФЗ «О теплоснабжении»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Камышловским городским округом утверждена схема теплоснабжения, ежегодно осуществляется ее актуализация. В рамках схем теплоснабжения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определены основные этапы развития систем теплоснабжения.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Проблемный вопрос. Высокий уровень физического износа объектов и сооружений коммунальной инфраструктуры, который приводит к возникновению аварийных ситуаций.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 xml:space="preserve">Методы решения. 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1. Проведение реконструкции и модернизации существующих источников теплоснабжения.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2. Повышение уровня профессиональной подготовки инженерного и технического состава, обслуживающего источники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теплоснабжения.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3. Повышение качества оказания услуг на рынке теплоснабжения.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4. Передача управления объектов производства тепловой энергии частным операторам на основе концессионных соглашений.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5. Организационно-методическая и консультационная поддержка по вопросам организации деятельности организаций в сфере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FF" w:val="clear"/>
                <w:lang w:eastAsia="ru-RU"/>
              </w:rPr>
              <w:t>теплоснабжения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00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00" w:val="clear"/>
                <w:lang w:eastAsia="ru-RU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Утверждение схем теплоснабжения (ежегодная актуализация)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утвержденной нормативным правовым актом схемы теплоснабжения,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50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по результатам проведения конкурсов на право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муниципальным предприятиям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или учреждениям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 муниципального образования паспорта готовности </w:t>
              <w:br/>
              <w:t>к отопительному периоду,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5.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На территории Камышловского городского округа находится 8 общественных территорий, из них 5 общественных территорий нуждаются в благоустройстве.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рамках участия в региональном проекте «Формирование комфортной городской среды» на территории Камышловского городского округа в период 2018-2020 годов комплексно благоустроены три общественные территории по ул. К. Маркса: центральный городской сквер, площадь и пешеходная зона от ул. Маяковского до ул. Ленина. Выполнены работы по покрытию поверхности, устройству наружного освещения, установке скамеек и урн, тротуаров, организации детских игровых площадок, произведены озеленение территории и установка ограждения. Общая стоимость реализации проекта по комплексному благоустройству ул. К. Маркса (центральный городской сквер и площадь) в Камышловском городском округе составила 26,9 млн. рублей, в том числе средства областного бюджета – 26,3 млн. рублей, средства местного бюджета – 0,6 млн. рублей. Стоимость реализации проекта по комплексному благоустройству ул. К. Маркса от ул. Урицкого до ул. Ленина в Камышловском городском округе составила 48,214 млн. рублей, в том числе средства областного бюджета – 47,379 млн. рублей, средства местного бюджета – 0,835 млн. рублей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1.Недостаточный уровень благоустройства общественных территорий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2.Низкая инвестиционная привлекательность сферы благоустройства городской среды.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3.Повышенные требования к оперативности выполнения работ по благоустройству городской среды (сезонность).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4.Недостаточно высокий уровень квалификации работников подрядных организаций, выполняющих работы по благоустройству городской среды.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Применение конкурентных способов при размещении государственных заказов на выполнение работ по благоустройству городской среды.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 Повышение информированности бизнеса о рынке выполнения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00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00" w:val="clear"/>
                <w:lang w:eastAsia="ru-RU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МКУ «центр обеспечения деятельности администрации Камышловского городского округа», </w:t>
            </w:r>
          </w:p>
          <w:p>
            <w:pPr>
              <w:pStyle w:val="Normal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1040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Информирование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формирования современной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Организация и проведение публичных торгов или иных конкурентных процедур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размещенных в сети «Интернет» информационных сообщений о проведении торгов или иных конкурентных процедур в общем количестве проведенных торгов или иных конкурентных процедур,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МКУ «Центр обеспечения деятельности администрации Камышловского городского округа», </w:t>
            </w:r>
          </w:p>
          <w:p>
            <w:pPr>
              <w:pStyle w:val="Normal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</w:t>
            </w:r>
          </w:p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многоквартирном доме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 территории Камышловского городского округа расположено 635 многоквартирных домов, в том числе дома блокированной застройки. Управление жилищным фондом осуществляют 3 управляющих компании, 6 ТСЖ и жители 36 МКД определили способ управления – непосредственное управление. Доля жилищного фонда, находящегося в управлении управляющих компаний составляет 99% (без учета домов блокированной застройки). Деятельность организаций, управляющих многоквартирными жилыми домами,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года № 731. Одной из основных форм государственного регулирования и контроля за качеством предоставляемых жилищно-коммунальных услуг является лицензирование деятельности предприятий, сертификация работ и услуг, подготовка специалистов отрасли. Использование данных форм регулирования не должно создавать барьеры для вхождения на вновь формируемый рынок новых организаций.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Проблемные вопросы.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Высокий износ инженерных сетей и конструктивных элементов домов;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2. Низкая обеспеченность квалифицированными кадрами;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Неэффективная система управления предприятиями жилищно-коммунального комплекса;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 Несоблюдение управляющими организациями требований действующего законодательства по обеспечению прозрачности своей деятельности.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Повышение качества оказания жилищно-коммунальных услуг.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2. Развитие электронных форм и площадок своевременного информирования управляющих компаний о возникших проблемах.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домом.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Информирование собственников жилых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 xml:space="preserve">Обеспечение размещения нормативно-правовых актов 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сфере ЖКХ в Государственной информационно-аналитической системе ЖКХ (ГИС ЖКХ), на сайте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доля размещенных нормативно-правовых актов в сфере ЖКХ,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7.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Камышловском городском округе рынок услуг регулярных перевозок пассажиров наземным автомобильным транспортом сформирован с учетом сложившейся маршрутной сети, а также существующего спроса населения на эти услуги. В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Камышловском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городском округе муниципальные унитарные предприятия, оказывающих услуги по перевозке пассажиров, отсутствуют. По состоянию на 1 января 2022 года доля частных перевозчиков составляет 100% -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ООО «Авто-Плюс».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  <w:lang w:eastAsia="ru-RU"/>
              </w:rPr>
              <w:t>1.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  <w:lang w:eastAsia="ru-RU"/>
              </w:rPr>
              <w:t>2. Значительные первоначальные вложения (стоимость автобусов и их обслуживания) при длительных сроках окупаемости.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  <w:lang w:eastAsia="ru-RU"/>
              </w:rPr>
              <w:t xml:space="preserve">Методы решения.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  <w:lang w:eastAsia="ru-RU"/>
              </w:rPr>
              <w:t>1. Оптимизация маршрутной сети.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  <w:lang w:eastAsia="ru-RU"/>
              </w:rPr>
              <w:t>2. Обновление подвижного состава.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  <w:lang w:eastAsia="ru-RU"/>
              </w:rPr>
              <w:t>3. Субсидирование перевозок отдельных категорий граждан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Проведение мониторинга </w:t>
              <w:br/>
              <w:t xml:space="preserve">исполнения муниципальных контрактов в соответствии </w:t>
              <w:br/>
              <w:t>с требованиями законодательства о закупочной деятельности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доля муниципальных контрактов, заключенных в соответствии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 требованиями законодательства о закупочной деятельности,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МКУ «Центр обеспечения деятельности администрации Камышловского городского округа»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8.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легкой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промышленности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легкая промышленность включает в себя два вида экономической деятельности: производство одежды и производство кожи. По состоянию на 1 января 2022 года доля организаций частной формы собственности в сфере легкой промышленности составляет 100%.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Ведущие организации Камышловского городского округа в сфере легкой промышленности ООО ТД «Кожевенный завод», ИП Семенова О.В., Попова Л.М.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ООО ТД «Кожевенный завод» -одно из немногих в России производств в кожевенной отрасли. Производит следующие виды продукции: кожа хромовая дубленая для верха обуви, кожа для подкладки обуви, юфть термоустойчивую, кожа для одежды, мебели. Кроме того, производится кожа для низа обуви, краст и полу-фабрикат «вет-блю».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ИП Семенова О.В. и ИП Попова Л.М.  - производство спецодежды на заказ. 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Высокий уровень конкуренции со стороны российских товаров из других регионов Российской Федерации.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Снижение покупательной способности населения.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Высокая для данной отрасли налоговая нагрузка.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Привлечение организаций к участию в различных конкурсах и выставках.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легкой промышленности, 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9.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обслуживанию и ремонту автотранспортных средств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На рынке услуг по обслуживанию и ремонту транспортных средств отмечается высокая доля присутствия частного бизнеса-100%.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униципальные предприятия, предоставляющие данный вид услуг, в городском округе отсутствуют.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 01.01.202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года в Камышловском городском округе в сфере обслуживания и ремонта автотранспортных средств ведут деятельность 23 организации.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Основные проблемы. 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Низкая обеспеченность объектов, предоставляющих услуги по техническому обслуживанию и ремонту транспортных средств, производственными мощностями, инфраструктурой для клиентов, техникой, современными технологиями.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Дефицит персонала высокой квалификации, порождающий конкуренцию автомастерских за высококвалифицированные кадры.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Техническое перевооружение организаций и расширение спектра предоставляемых авторемонтных услуг.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Информационное взаимодействие с представителям сферы услуг по обслуживанию и ремонту транспортных средств.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Мониторинг состояния и развития сети объектов, предоставляющих услуги по обслуживанию и ремонту транспортных средств, в рамках годовой отчетности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доля организаций частной формы собственности в анализируемой сфере,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1</w:t>
            </w:r>
            <w:r>
              <w:rPr>
                <w:rFonts w:eastAsia="Calibri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lang w:val="ru-RU" w:eastAsia="zh-CN" w:bidi="ar-SA"/>
              </w:rPr>
              <w:t>0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. Сфера наружной рекламы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tabs>
                <w:tab w:val="clear" w:pos="708"/>
                <w:tab w:val="left" w:pos="319" w:leader="none"/>
              </w:tabs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на 1 января 2022 года доля организаций частной формы собственности на рынке наружной рекламы составляла 100%. 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Развитие рынка наружной рекламы обеспечивалось за счет возрастающего числа высокотехнологичных рекламных конструкций с электронно-цифровой сменой изображения, таких как медиафасады и видеоэкраны. </w:t>
            </w:r>
          </w:p>
          <w:p>
            <w:pPr>
              <w:pStyle w:val="Normal"/>
              <w:keepLines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Проблемные вопросы. </w:t>
            </w:r>
          </w:p>
          <w:p>
            <w:pPr>
              <w:pStyle w:val="Normal"/>
              <w:keepLines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предусмотренные статьей 19 Федерального закона  от 13 марта 2006 года № 38-ФЗ «О рекламе».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Расширение функций уполномоченных органов в сфере рекламы.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Борьба с незаконными рекламными конструкциями и недобросовестными рекламораспространителями,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направленная на повышение инвестиционной привлекательности рынка наружной рекламы.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Проведение торгов на размещение рекламных конструкций только в электронном виде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Размещение на официальном сайте Камышловского городского округа нормативных правовых актов, регулирующих сферу наружной рекламы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на официальном сайте 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сети «Интернет»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комитет по управлению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Утверждение схем размещения рекламных конструкций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(актуализация)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согласованных актуализированных схем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размещения рекламных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конструкций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6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9" w:leader="none"/>
              </w:tabs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11.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ритуальных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FFFF00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FFFF00" w:val="clear"/>
              </w:rPr>
            </w:r>
          </w:p>
        </w:tc>
        <w:tc>
          <w:tcPr>
            <w:tcW w:w="13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  <w:r>
              <w:rPr>
                <w:rFonts w:cs="Liberation Serif;Times New Roman" w:ascii="Liberation Serif;Times New Roman" w:hAnsi="Liberation Serif;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1 января 2022 года на территории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организаций частной формы собственности по оказанию ритуальных услуг и 1 организация муниципальной формы собственности.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Содержание мест захоронения на территории города закреплено за муниципальным казенным учреждением «Центр городского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обслуживания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Действуют и содержатся два кладбища: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Городское кладбище – общая площадь 10,9 га., расположенное по адресу: г.Камышлов, ул. Октябрьская, 1а;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Закамышловское кладбище – общая площадь – 6 га., расположенное по адресу: г.Камышлов, ул. Закамышловская 1б.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Проблемные вопросы.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 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</w:t>
            </w:r>
            <w:r>
              <w:rPr>
                <w:rFonts w:cs="Liberation Serif;Times New Roman" w:ascii="Liberation Serif;Times New Roman" w:hAnsi="Liberation Serif;Times New Roman"/>
                <w:i/>
                <w:sz w:val="24"/>
                <w:szCs w:val="24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Выработка и реализация мер по снижению уровня коррупции в сфере предоставления ритуальных услуг.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00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00" w:val="clear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Формирование реестра организаций, осуществляющих деятельность на рынке ритуальных услуг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аличие на официальном сайте администрации Камышловского городского округа актуального реестра организаций, осуществляющих деятельность на рынке ритуальных услуг,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00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00" w:val="clear"/>
              </w:rPr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Организация инвентаризации кладбищ и мест захоронений на них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с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ведения о существующих кладбищах Камышловского городского округа и местах захоронений на них включены в реестр кладбищ Свердловской области и мест захоронений на них, размещенный на Едином портале государственных и муниципальных услуг,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28" w:before="0" w:after="0"/>
              <w:jc w:val="both"/>
              <w:rPr/>
            </w:pPr>
            <w:r>
              <w:rPr/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МКУ «Центр городского обслуживания</w:t>
            </w:r>
          </w:p>
        </w:tc>
      </w:tr>
      <w:tr>
        <w:trPr>
          <w:trHeight w:val="23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FFFF00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FFFF00" w:val="clear"/>
              </w:rPr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tabs>
                <w:tab w:val="clear" w:pos="708"/>
                <w:tab w:val="left" w:pos="319" w:leader="none"/>
              </w:tabs>
              <w:spacing w:lineRule="auto" w:line="228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2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2"/>
                <w:lang w:eastAsia="ru-RU" w:bidi="ru-RU"/>
              </w:rPr>
              <w:t xml:space="preserve">Обеспечение оказания услуг </w:t>
              <w:br/>
              <w:t>по организации похорон по принципу «одного окна»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нормативного правового акта об организации оказания услуг по организации похорон по принципу «одного окна»,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28" w:before="0" w:after="0"/>
              <w:jc w:val="both"/>
              <w:rPr/>
            </w:pPr>
            <w:r>
              <w:rPr/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</w:tbl>
    <w:p>
      <w:pPr>
        <w:pStyle w:val="Normal"/>
        <w:spacing w:lineRule="auto" w:line="240" w:before="0" w:after="0"/>
        <w:ind w:left="0" w:right="0" w:firstLine="316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134" w:right="1134" w:header="709" w:top="1418" w:footer="0" w:bottom="567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2595" w:leader="none"/>
        </w:tabs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b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Системные мероприятия, направленные на развитие конкурентной среды 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p>
      <w:pPr>
        <w:pStyle w:val="Normal"/>
        <w:spacing w:lineRule="auto" w:line="24" w:before="0" w:after="0"/>
        <w:rPr>
          <w:rFonts w:ascii="Liberation Serif;Times New Roman" w:hAnsi="Liberation Serif;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</w:t>
      </w:r>
    </w:p>
    <w:tbl>
      <w:tblPr>
        <w:tblW w:w="15905" w:type="dxa"/>
        <w:jc w:val="left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2"/>
        <w:gridCol w:w="3750"/>
        <w:gridCol w:w="3201"/>
        <w:gridCol w:w="1422"/>
        <w:gridCol w:w="2717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Ответственный исполнитель</w:t>
            </w:r>
          </w:p>
        </w:tc>
      </w:tr>
    </w:tbl>
    <w:p>
      <w:pPr>
        <w:pStyle w:val="Normal"/>
        <w:spacing w:lineRule="auto" w:line="12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tbl>
      <w:tblPr>
        <w:tblW w:w="15905" w:type="dxa"/>
        <w:jc w:val="left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830"/>
        <w:gridCol w:w="3750"/>
        <w:gridCol w:w="3285"/>
        <w:gridCol w:w="1334"/>
        <w:gridCol w:w="2721"/>
      </w:tblGrid>
      <w:tr>
        <w:trPr>
          <w:tblHeader w:val="true"/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>
        <w:trPr>
          <w:trHeight w:val="1360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trike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trike/>
                <w:sz w:val="24"/>
                <w:szCs w:val="24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прозрачности </w:t>
              <w:br/>
              <w:t>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введение механизма оказания содействия участникам закупки </w:t>
              <w:br/>
              <w:t>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расширение участия субъектов МСП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Создание условий, в соответствии </w:t>
              <w:br/>
              <w:t>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участия необходимого числа участников конкурентных процедур определения поставщиков (подрядчиков, исполнителей) </w:t>
              <w:br/>
              <w:t xml:space="preserve">при осуществлении закупок </w:t>
              <w:br/>
              <w:t>для обеспечения муниципальных нужд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</w:t>
              <w:br/>
              <w:t>при осуществлении закупок для обеспечения муниципальных нужд: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год – не менее </w:t>
              <w:br/>
              <w:t>3 участников;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2023 год – не менее </w:t>
              <w:br/>
              <w:t>3 частников;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 – не менее</w:t>
              <w:br/>
              <w:t>3 частников;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 год – не менее</w:t>
              <w:br/>
              <w:t>3 частников.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МКУ «Центр обеспечения деятельности администрации Камышловского городского округа»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Cs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5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282" w:right="-399" w:hanging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16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16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 xml:space="preserve">на территории Камышловского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утвержденных административных регламентов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избыточного регулирования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 xml:space="preserve">в порядке проведения оценки регулирующего воздействия проектов нормативных правовых актов Камышловского городского округа и экспертизы нормативных правовых актов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Камышловского городского округа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, устанавливаемых 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актов и экспертизы нормативных правовых актов муниципальных образований, устанавливаемых </w:t>
              <w:br/>
              <w:t xml:space="preserve">в соответствии </w:t>
              <w:br/>
              <w:t xml:space="preserve">с Федеральным законом </w:t>
              <w:br/>
              <w:t xml:space="preserve">от 6 октября 2003 года </w:t>
              <w:br/>
              <w:t>№ 131-ФЗ ««Об общих принципах организации местного самоуправления в Российской Федерации», пунктов, предусматривающих анализ воздействия таких проектов актов средней и высокой степени регулирующего воздействия на состояние конкуренции.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их деятельности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  <w:shd w:fill="FFFF00" w:val="clear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  <w:shd w:fill="FFFF00" w:val="clear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контрольных мероприятий по проверке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подготовлены заключения по итогам проверки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Создание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равных условий доступа </w:t>
              <w:br/>
              <w:t>к информации о муниципальном имуществе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размещение информации </w:t>
              <w:br/>
              <w:t xml:space="preserve">о государственном имуществе Свердловской области, находящемся в собственности муниципальных образований, в том числе имуществе, включаемом в перечни для предоставления </w:t>
              <w:br/>
              <w:t xml:space="preserve">на льготных условиях субъектам МСП, о реализации такого имущества и предоставлении его </w:t>
              <w:br/>
              <w:t xml:space="preserve">во владение и (или) пользование, </w:t>
              <w:br/>
              <w:t xml:space="preserve">путем размещения указанной информации </w:t>
              <w:br/>
              <w:t xml:space="preserve">на официальном сайте Российской Федерации в сети «Интернет» </w:t>
              <w:br/>
              <w:t xml:space="preserve">для размещения информации </w:t>
              <w:br/>
              <w:t>о проведении торгов (</w:t>
            </w:r>
            <w:hyperlink r:id="rId7">
              <w:r>
                <w:rPr>
                  <w:rFonts w:eastAsia="Times New Roman" w:cs="Liberation Serif;Times New Roman" w:ascii="Liberation Serif;Times New Roman" w:hAnsi="Liberation Serif;Times New Roman"/>
                  <w:sz w:val="24"/>
                  <w:szCs w:val="24"/>
                </w:rPr>
                <w:t>www.torgi.gov.ru</w:t>
              </w:r>
            </w:hyperlink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) </w:t>
              <w:br/>
              <w:t>и на официальном сайте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опубликование актуальной информация на официальном сайте Камышловского городского округа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обеспечение опубликования </w:t>
              <w:br/>
              <w:t xml:space="preserve">и актуализации на официальном сайте Камышловского городского округа информации об объектах, находящихся в муниципальной собственности, включая сведения </w:t>
              <w:br/>
              <w:t xml:space="preserve">о наименованиях объектов, </w:t>
              <w:br/>
              <w:t>их местонахождении, характеристиках и целевом назначении, существующих ограничениях их использования и обременение правами третьих лиц (далее – объекты)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Опубликована информация об объектах на официальном сайте Камышловского городского округа, а также обеспечена ее ежеквартальная актуализация</w:t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определение состава имущества,находящемся в собственности Камышловского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муниципального имущества,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2022-2023 годы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приватизации либо перепрофилирования (изменение целевого назначения) имущества, находящегося в собственности Камышловского городского округа,не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Проведены торги по продаже или мероприятия по перепрофилированию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-113" w:right="0" w:hanging="0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2023-2025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9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Поддержка МСП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Развитие практики применения механизмов муниципально-частного партнерства, в том числе расширение практики заключения концессионных соглашений 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партнерства, размещенных на официальном сайте РФ в сети «Интернет» для размещения информации о проведении торгов (www.torgi.gov.ru)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количество инвестиционных предложений с  применением механизмов муниципально-частного партнерства и посредством заключения концессионных соглашений (нарастающим итогом):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2022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инвестиционного предложения;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2023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ого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предложени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я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2024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предложений;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2025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к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мониторинга:</w:t>
            </w:r>
          </w:p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наличия (отсутствия) административных барьеров </w:t>
              <w:br/>
              <w:t>и оценки состояния конкуренции субъектами предпринимательской деятельности;</w:t>
            </w:r>
          </w:p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потребителей качеством товаров, работ, услуг </w:t>
              <w:br/>
              <w:t>на товарных рынках и состоянием ценовой конкуренции;</w:t>
            </w:r>
          </w:p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</w:t>
              <w:br/>
              <w:t xml:space="preserve">и удобства получения) официальной информации о состоянии конкуренции на товарных рынках субъекта Российской Федерации </w:t>
              <w:br/>
              <w:t>и деятельности по содействию развитию конкуренции, размещаемой уполномоченным органом и администрацией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предоставление ежегодного отчета </w:t>
              <w:br/>
              <w:t>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предоставление ежегодного отчета </w:t>
              <w:br/>
              <w:t>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2022–2025 годы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мониторингов: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населения деятельностью в сфере финансовых услуг, осуществляемой </w:t>
              <w:br/>
              <w:t xml:space="preserve">на территории Свердловской области; </w:t>
            </w:r>
          </w:p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предоставление ежегодного отчета </w:t>
              <w:br/>
              <w:t>о результатах мониторингов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9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>Развитие торговой деятельности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Обеспечение увеличения количества нестационарных торговых объектов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Содействие развитию торговой сети в Камышловском городском округе в части наличия нестационарных торговых объектов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количество нестационарных торговых объектов и торговых мест под них увеличено не менее чем </w:t>
              <w:br/>
              <w:t xml:space="preserve">на 10% к 2025 году по отношению </w:t>
              <w:br/>
              <w:t>к 2020 году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</w:tbl>
    <w:p>
      <w:pPr>
        <w:pStyle w:val="Normal"/>
        <w:tabs>
          <w:tab w:val="clear" w:pos="708"/>
          <w:tab w:val="left" w:pos="1260" w:leader="none"/>
        </w:tabs>
        <w:spacing w:before="0" w:after="16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60" w:leader="none"/>
        </w:tabs>
        <w:spacing w:before="0" w:after="16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60" w:leader="none"/>
        </w:tabs>
        <w:spacing w:before="0" w:after="16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60" w:leader="none"/>
        </w:tabs>
        <w:spacing w:before="0" w:after="16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eastAsia="Calibri" w:cs="Liberation Serif;Times New Roman" w:ascii="Liberation Serif;Times New Roman" w:hAnsi="Liberation Serif;Times New Roman"/>
          <w:color w:val="auto"/>
          <w:sz w:val="24"/>
          <w:szCs w:val="24"/>
          <w:lang w:val="ru-RU" w:eastAsia="zh-CN" w:bidi="ar-SA"/>
        </w:rPr>
        <w:t xml:space="preserve">Приложение   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4"/>
          <w:szCs w:val="24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 w:cs="Liberation Serif;Times New Roman" w:ascii="Liberation Serif;Times New Roman" w:hAnsi="Liberation Serif;Times New Roman"/>
          <w:color w:val="auto"/>
          <w:sz w:val="24"/>
          <w:szCs w:val="24"/>
          <w:lang w:val="ru-RU" w:eastAsia="zh-CN" w:bidi="ar-SA"/>
        </w:rPr>
        <w:t>к Плану мероприятий («дорожной карте»)</w:t>
      </w:r>
    </w:p>
    <w:p>
      <w:pPr>
        <w:pStyle w:val="Normal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 содействию развитию конкуренции в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Камышловском городском округе на   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период 2022-2025 годов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Перечень товарных рынков для содействия развитию конкуренции в Камышловском городском округе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274"/>
        <w:gridCol w:w="3722"/>
        <w:gridCol w:w="3167"/>
        <w:gridCol w:w="3747"/>
      </w:tblGrid>
      <w:tr>
        <w:trPr>
          <w:trHeight w:val="170" w:hRule="atLeast"/>
          <w:cantSplit w:val="true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Наименование товарного рынка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531" w:leader="none"/>
              </w:tabs>
              <w:spacing w:lineRule="auto" w:line="240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Ожидаемое значение ключевого показателя по  состоянию</w:t>
            </w:r>
          </w:p>
          <w:p>
            <w:pPr>
              <w:pStyle w:val="Normal"/>
              <w:tabs>
                <w:tab w:val="clear" w:pos="708"/>
                <w:tab w:val="center" w:pos="531" w:leader="none"/>
              </w:tabs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 31.12.2022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Ответственный исполнитель</w:t>
            </w:r>
          </w:p>
        </w:tc>
      </w:tr>
    </w:tbl>
    <w:p>
      <w:pPr>
        <w:pStyle w:val="Normal"/>
        <w:spacing w:lineRule="auto" w:line="24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tbl>
      <w:tblPr>
        <w:tblW w:w="15510" w:type="dxa"/>
        <w:jc w:val="left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443"/>
        <w:gridCol w:w="3919"/>
        <w:gridCol w:w="3331"/>
        <w:gridCol w:w="4120"/>
      </w:tblGrid>
      <w:tr>
        <w:trPr>
          <w:tblHeader w:val="true"/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ind w:left="0" w:right="0" w:hanging="25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Рынок универсальных ярмарок (в т.ч. с реализацией сельскохозяйственной продукции)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количество проведенных ярмарок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МКУ «Центр обеспечения деятельности администрации Камышловского городского округа»,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28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Рынок кадастровых </w:t>
              <w:br/>
              <w:t>и землеустроительных работ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доля организаций частной формы собственности в сфере кадастровых </w:t>
              <w:br/>
              <w:t>и землеустроительных работ,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100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28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spacing w:lineRule="auto" w:line="228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Рынок оказания услуг </w:t>
              <w:br/>
              <w:t xml:space="preserve">по перевозке пассажиров автомобильным транспортом </w:t>
              <w:br/>
              <w:t>по муниципальным маршрутам регулярных перевозок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МКУ «Центр обеспечения деятельности администрации Камышловского городского округа»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4"/>
                <w:szCs w:val="24"/>
                <w:lang w:eastAsia="ru-RU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Рынок оказания услуг </w:t>
              <w:br/>
              <w:t>по обслуживанию и ремонту автотранспортных средств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Сфера наружной рекламы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4"/>
                <w:szCs w:val="24"/>
                <w:lang w:eastAsia="ru-RU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719" w:right="0" w:hanging="552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0" w:leader="none"/>
              </w:tabs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85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МКУ «Центр городского обслуживания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</w:tbl>
    <w:p>
      <w:pPr>
        <w:pStyle w:val="Normal"/>
        <w:tabs>
          <w:tab w:val="clear" w:pos="708"/>
          <w:tab w:val="left" w:pos="1260" w:leader="none"/>
        </w:tabs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sectPr>
      <w:headerReference w:type="default" r:id="rId8"/>
      <w:headerReference w:type="first" r:id="rId9"/>
      <w:type w:val="nextPage"/>
      <w:pgSz w:orient="landscape" w:w="16838" w:h="11906"/>
      <w:pgMar w:left="1134" w:right="1134" w:header="708" w:top="851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swiss"/>
    <w:pitch w:val="variable"/>
  </w:font>
  <w:font w:name="TimesDL">
    <w:altName w:val="Times New Roman"/>
    <w:charset w:val="01"/>
    <w:family w:val="auto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  <w:font w:name="Times New Roman CYR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>
        <w:rFonts w:ascii="Liberation Serif;Times New Roman" w:hAnsi="Liberation Serif;Times New Roman" w:cs="Liberation Serif;Times New Roman"/>
        <w:sz w:val="28"/>
      </w:rPr>
    </w:pPr>
    <w:r>
      <w:rPr>
        <w:rFonts w:cs="Liberation Serif;Times New Roman" w:ascii="Liberation Serif;Times New Roman" w:hAnsi="Liberation Serif;Times New Roman"/>
        <w:sz w:val="28"/>
      </w:rPr>
      <w:fldChar w:fldCharType="begin"/>
    </w:r>
    <w:r>
      <w:rPr>
        <w:sz w:val="28"/>
        <w:rFonts w:cs="Liberation Serif;Times New Roman" w:ascii="Liberation Serif;Times New Roman" w:hAnsi="Liberation Serif;Times New Roman"/>
      </w:rPr>
      <w:instrText> PAGE </w:instrText>
    </w:r>
    <w:r>
      <w:rPr>
        <w:sz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rFonts w:cs="Liberation Serif;Times New Roman" w:ascii="Liberation Serif;Times New Roman" w:hAnsi="Liberation Serif;Times New Roman"/>
      </w:rPr>
      <w:t>15</w:t>
    </w:r>
    <w:r>
      <w:rPr>
        <w:sz w:val="28"/>
        <w:rFonts w:cs="Liberation Serif;Times New Roman" w:ascii="Liberation Serif;Times New Roman" w:hAnsi="Liberation Serif;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>
        <w:rFonts w:ascii="Liberation Serif;Times New Roman" w:hAnsi="Liberation Serif;Times New Roman" w:cs="Liberation Serif;Times New Roman"/>
        <w:sz w:val="28"/>
      </w:rPr>
    </w:pPr>
    <w:r>
      <w:rPr>
        <w:rFonts w:cs="Liberation Serif;Times New Roman" w:ascii="Liberation Serif;Times New Roman" w:hAnsi="Liberation Serif;Times New Roman"/>
        <w:sz w:val="28"/>
      </w:rPr>
      <w:fldChar w:fldCharType="begin"/>
    </w:r>
    <w:r>
      <w:rPr>
        <w:sz w:val="28"/>
        <w:rFonts w:cs="Liberation Serif;Times New Roman" w:ascii="Liberation Serif;Times New Roman" w:hAnsi="Liberation Serif;Times New Roman"/>
      </w:rPr>
      <w:instrText> PAGE </w:instrText>
    </w:r>
    <w:r>
      <w:rPr>
        <w:sz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rFonts w:cs="Liberation Serif;Times New Roman" w:ascii="Liberation Serif;Times New Roman" w:hAnsi="Liberation Serif;Times New Roman"/>
      </w:rPr>
      <w:t>25</w:t>
    </w:r>
    <w:r>
      <w:rPr>
        <w:sz w:val="28"/>
        <w:rFonts w:cs="Liberation Serif;Times New Roman" w:ascii="Liberation Serif;Times New Roman" w:hAnsi="Liberation Serif;Times New Roman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  <w:fldChar w:fldCharType="begin"/>
    </w:r>
    <w:r>
      <w:rPr>
        <w:sz w:val="28"/>
        <w:szCs w:val="28"/>
        <w:rFonts w:cs="Liberation Serif;Times New Roman" w:ascii="Liberation Serif;Times New Roman" w:hAnsi="Liberation Serif;Times New Roman"/>
      </w:rPr>
      <w:instrText> PAGE </w:instrTex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szCs w:val="28"/>
        <w:rFonts w:cs="Liberation Serif;Times New Roman" w:ascii="Liberation Serif;Times New Roman" w:hAnsi="Liberation Serif;Times New Roman"/>
      </w:rPr>
      <w:t>16</w: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dstrike w:val="false"/>
        <w:strike w:val="false"/>
        <w:b w:val="false"/>
        <w:bCs w:val="fals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85" w:hanging="525"/>
      </w:pPr>
      <w:rPr>
        <w:dstrike w:val="false"/>
        <w:strike w:val="false"/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dstrike w:val="false"/>
        <w:strike w:val="false"/>
        <w:b w:val="false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fals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autoSpaceDE w:val="fals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Calibri Light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Calibri Light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04" w:before="0" w:after="0"/>
      <w:jc w:val="center"/>
      <w:outlineLvl w:val="3"/>
    </w:pPr>
    <w:rPr>
      <w:rFonts w:ascii="TimesDL;Times New Roman" w:hAnsi="TimesDL;Times New Roman" w:eastAsia="Times New Roman" w:cs="TimesDL;Times New Roman"/>
      <w:b/>
      <w:spacing w:val="60"/>
      <w:sz w:val="32"/>
      <w:szCs w:val="20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bCs w:val="false"/>
      <w:strike w:val="false"/>
      <w:dstrike w:val="false"/>
    </w:rPr>
  </w:style>
  <w:style w:type="character" w:styleId="WW8Num3z0">
    <w:name w:val="WW8Num3z0"/>
    <w:qFormat/>
    <w:rPr>
      <w:b w:val="false"/>
    </w:rPr>
  </w:style>
  <w:style w:type="character" w:styleId="WW8Num4z0">
    <w:name w:val="WW8Num4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Times New Roman" w:hAnsi="Times New Roman" w:eastAsia="Calibri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Style10">
    <w:name w:val="Основной шрифт абзаца"/>
    <w:qFormat/>
    <w:rPr/>
  </w:style>
  <w:style w:type="character" w:styleId="Style11">
    <w:name w:val="Верхний колонтитул Знак"/>
    <w:basedOn w:val="Style10"/>
    <w:qFormat/>
    <w:rPr/>
  </w:style>
  <w:style w:type="character" w:styleId="Style12">
    <w:name w:val="Нижний колонтитул Знак"/>
    <w:basedOn w:val="Style10"/>
    <w:qFormat/>
    <w:rPr/>
  </w:style>
  <w:style w:type="character" w:styleId="Style13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1">
    <w:name w:val="Заголовок 2 Знак"/>
    <w:qFormat/>
    <w:rPr>
      <w:rFonts w:ascii="Calibri Light" w:hAnsi="Calibri Light" w:eastAsia="Times New Roman" w:cs="Calibri Light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libri Light" w:hAnsi="Calibri Light" w:eastAsia="Times New Roman" w:cs="Calibri Light"/>
      <w:b/>
      <w:bCs/>
      <w:sz w:val="26"/>
      <w:szCs w:val="26"/>
    </w:rPr>
  </w:style>
  <w:style w:type="character" w:styleId="41">
    <w:name w:val="Заголовок 4 Знак"/>
    <w:qFormat/>
    <w:rPr>
      <w:rFonts w:ascii="TimesDL;Times New Roman" w:hAnsi="TimesDL;Times New Roman" w:eastAsia="Times New Roman" w:cs="TimesDL;Times New Roman"/>
      <w:b/>
      <w:spacing w:val="60"/>
      <w:sz w:val="32"/>
      <w:lang w:val="ru-RU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4">
    <w:name w:val="Текст примечания Знак"/>
    <w:qFormat/>
    <w:rPr/>
  </w:style>
  <w:style w:type="character" w:styleId="12">
    <w:name w:val="Текст примечания Знак1"/>
    <w:qFormat/>
    <w:rPr/>
  </w:style>
  <w:style w:type="character" w:styleId="Style15">
    <w:name w:val="Тема примечания Знак"/>
    <w:qFormat/>
    <w:rPr>
      <w:b/>
      <w:bCs/>
    </w:rPr>
  </w:style>
  <w:style w:type="character" w:styleId="13">
    <w:name w:val="Тема примечания Знак1"/>
    <w:qFormat/>
    <w:rPr>
      <w:b/>
      <w:bCs/>
    </w:rPr>
  </w:style>
  <w:style w:type="character" w:styleId="Style16">
    <w:name w:val="Интернет-ссылка"/>
    <w:rPr>
      <w:color w:val="0563C1"/>
      <w:u w:val="single"/>
    </w:rPr>
  </w:style>
  <w:style w:type="character" w:styleId="Style17">
    <w:name w:val="Посещённая гиперссылка"/>
    <w:rPr>
      <w:color w:val="954F72"/>
      <w:u w:val="single"/>
    </w:rPr>
  </w:style>
  <w:style w:type="character" w:styleId="Style18">
    <w:name w:val="Текст сноски Знак"/>
    <w:qFormat/>
    <w:rPr/>
  </w:style>
  <w:style w:type="character" w:styleId="Style19">
    <w:name w:val="Символ сноски"/>
    <w:qFormat/>
    <w:rPr>
      <w:vertAlign w:val="superscript"/>
    </w:rPr>
  </w:style>
  <w:style w:type="character" w:styleId="Style20">
    <w:name w:val="Знак примечания"/>
    <w:qFormat/>
    <w:rPr>
      <w:sz w:val="16"/>
      <w:szCs w:val="16"/>
    </w:rPr>
  </w:style>
  <w:style w:type="character" w:styleId="Style21">
    <w:name w:val="Текст концевой сноски Знак"/>
    <w:qFormat/>
    <w:rPr/>
  </w:style>
  <w:style w:type="character" w:styleId="Style22">
    <w:name w:val="Символ концевой сноски"/>
    <w:qFormat/>
    <w:rPr>
      <w:vertAlign w:val="superscript"/>
    </w:rPr>
  </w:style>
  <w:style w:type="character" w:styleId="7">
    <w:name w:val="Основной текст (7)_"/>
    <w:qFormat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22">
    <w:name w:val="Основной текст с отступом 2 Знак"/>
    <w:qFormat/>
    <w:rPr>
      <w:sz w:val="22"/>
      <w:szCs w:val="22"/>
    </w:rPr>
  </w:style>
  <w:style w:type="character" w:styleId="23">
    <w:name w:val="Основной текст (2)_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3">
    <w:name w:val="Выделение жирным"/>
    <w:qFormat/>
    <w:rPr>
      <w:b/>
      <w:bCs/>
    </w:rPr>
  </w:style>
  <w:style w:type="character" w:styleId="Style24">
    <w:name w:val="Основной текст с отступом Знак"/>
    <w:qFormat/>
    <w:rPr>
      <w:sz w:val="22"/>
      <w:szCs w:val="22"/>
    </w:rPr>
  </w:style>
  <w:style w:type="character" w:styleId="Extendedtextfull">
    <w:name w:val="extended-text__full"/>
    <w:qFormat/>
    <w:rPr/>
  </w:style>
  <w:style w:type="character" w:styleId="Style2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28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ascii="PT Astra Serif" w:hAnsi="PT Astra Serif" w:cs="Noto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pPr>
      <w:spacing w:lineRule="auto" w:line="240" w:before="0" w:after="0"/>
    </w:pPr>
    <w:rPr/>
  </w:style>
  <w:style w:type="paragraph" w:styleId="Style34">
    <w:name w:val="Footer"/>
    <w:basedOn w:val="Normal"/>
    <w:pPr>
      <w:spacing w:lineRule="auto" w:line="240" w:before="0" w:after="0"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Style3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269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6">
    <w:name w:val="Текст примечания"/>
    <w:basedOn w:val="Normal"/>
    <w:qFormat/>
    <w:pPr>
      <w:spacing w:lineRule="auto" w:line="240"/>
    </w:pPr>
    <w:rPr>
      <w:sz w:val="20"/>
      <w:szCs w:val="20"/>
    </w:rPr>
  </w:style>
  <w:style w:type="paragraph" w:styleId="Style37">
    <w:name w:val="Тема примечания"/>
    <w:basedOn w:val="Style36"/>
    <w:next w:val="Style36"/>
    <w:qFormat/>
    <w:pPr/>
    <w:rPr>
      <w:b/>
      <w:bCs/>
    </w:rPr>
  </w:style>
  <w:style w:type="paragraph" w:styleId="Style38">
    <w:name w:val="Прижатый влево"/>
    <w:basedOn w:val="Normal"/>
    <w:next w:val="Normal"/>
    <w:qFormat/>
    <w:pPr>
      <w:widowControl w:val="false"/>
      <w:autoSpaceDE w:val="false"/>
      <w:spacing w:lineRule="auto" w:line="240" w:before="0" w:after="0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Style39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40">
    <w:name w:val="Абзац списка"/>
    <w:basedOn w:val="Normal"/>
    <w:qFormat/>
    <w:pPr>
      <w:spacing w:before="0" w:after="160"/>
      <w:ind w:left="720" w:right="0" w:hanging="0"/>
      <w:contextualSpacing/>
    </w:pPr>
    <w:rPr/>
  </w:style>
  <w:style w:type="paragraph" w:styleId="Style42">
    <w:name w:val="Endnote Text"/>
    <w:basedOn w:val="Normal"/>
    <w:pPr/>
    <w:rPr>
      <w:sz w:val="20"/>
      <w:szCs w:val="20"/>
    </w:rPr>
  </w:style>
  <w:style w:type="paragraph" w:styleId="Style43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71">
    <w:name w:val="Основной текст (7)"/>
    <w:basedOn w:val="Normal"/>
    <w:qFormat/>
    <w:pPr>
      <w:shd w:fill="FFFFFF" w:val="clear"/>
      <w:spacing w:lineRule="atLeast" w:line="0" w:before="0" w:after="0"/>
    </w:pPr>
    <w:rPr>
      <w:rFonts w:ascii="Times New Roman" w:hAnsi="Times New Roman" w:eastAsia="Times New Roman" w:cs="Times New Roman"/>
      <w:sz w:val="21"/>
      <w:szCs w:val="21"/>
    </w:rPr>
  </w:style>
  <w:style w:type="paragraph" w:styleId="24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25">
    <w:name w:val="Основной текст (2)"/>
    <w:basedOn w:val="Normal"/>
    <w:qFormat/>
    <w:pPr>
      <w:widowControl w:val="false"/>
      <w:shd w:fill="FFFFFF" w:val="clear"/>
      <w:spacing w:lineRule="exact" w:line="643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44">
    <w:name w:val="Body Text Indent"/>
    <w:basedOn w:val="Normal"/>
    <w:pPr>
      <w:spacing w:before="0" w:after="120"/>
      <w:ind w:left="283" w:right="0" w:hanging="0"/>
    </w:pPr>
    <w:rPr/>
  </w:style>
  <w:style w:type="paragraph" w:styleId="Style45">
    <w:name w:val="Содержимое таблицы"/>
    <w:basedOn w:val="Normal"/>
    <w:qFormat/>
    <w:pPr>
      <w:suppressLineNumbers/>
    </w:pPr>
    <w:rPr/>
  </w:style>
  <w:style w:type="paragraph" w:styleId="Style46">
    <w:name w:val="Заголовок таблицы"/>
    <w:basedOn w:val="Style45"/>
    <w:qFormat/>
    <w:pPr>
      <w:suppressLineNumbers/>
      <w:jc w:val="center"/>
    </w:pPr>
    <w:rPr>
      <w:b/>
      <w:bCs/>
    </w:rPr>
  </w:style>
  <w:style w:type="paragraph" w:styleId="Style4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8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yperlink" Target="http://www.torgi.gov.ru/" TargetMode="Externa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6425</TotalTime>
  <Application>LibreOffice/7.0.6.2$Linux_X86_64 LibreOffice_project/00$Build-2</Application>
  <AppVersion>15.0000</AppVersion>
  <Pages>25</Pages>
  <Words>5163</Words>
  <Characters>39472</Characters>
  <CharactersWithSpaces>45195</CharactersWithSpaces>
  <Paragraphs>588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2017-11-30T13:48:00Z</dcterms:created>
  <dc:creator>Баитова Елена Евгеньевна</dc:creator>
  <dc:description/>
  <dc:language>ru-RU</dc:language>
  <cp:lastModifiedBy/>
  <cp:lastPrinted>2022-06-07T16:52:17Z</cp:lastPrinted>
  <dcterms:modified xsi:type="dcterms:W3CDTF">2022-06-07T16:58:05Z</dcterms:modified>
  <cp:revision>154</cp:revision>
  <dc:subject/>
  <dc:title/>
</cp:coreProperties>
</file>