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4"/>
        <w:ind w:left="0" w:right="0" w:hanging="0"/>
        <w:jc w:val="center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  <w:drawing>
          <wp:inline distT="0" distB="0" distL="0" distR="0">
            <wp:extent cx="479425" cy="7410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4"/>
        <w:jc w:val="center"/>
        <w:rPr/>
      </w:pPr>
      <w:r>
        <w:rPr>
          <w:rStyle w:val="Style20"/>
          <w:rFonts w:cs="Liberation Serif" w:ascii="Liberation Serif" w:hAnsi="Liberation Serif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34"/>
        <w:jc w:val="center"/>
        <w:rPr>
          <w:rFonts w:ascii="Liberation Serif" w:hAnsi="Liberation Serif" w:cs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34"/>
        <w:pBdr>
          <w:top w:val="double" w:sz="12" w:space="1" w:color="000000"/>
        </w:pBdr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textAlignment w:val="auto"/>
        <w:rPr/>
      </w:pPr>
      <w:r>
        <w:rPr>
          <w:rStyle w:val="Style20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 xml:space="preserve">от </w:t>
      </w:r>
      <w:r>
        <w:rPr>
          <w:rStyle w:val="Style20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21</w:t>
      </w:r>
      <w:r>
        <w:rPr>
          <w:rStyle w:val="Style20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.02.2022 N 14</w:t>
      </w:r>
      <w:r>
        <w:rPr>
          <w:rStyle w:val="Style20"/>
          <w:rFonts w:eastAsia="Liberation Serif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2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                                         </w:t>
      </w:r>
    </w:p>
    <w:p>
      <w:pPr>
        <w:pStyle w:val="Normal"/>
        <w:ind w:left="0" w:right="0" w:firstLine="709"/>
        <w:jc w:val="center"/>
        <w:rPr>
          <w:rFonts w:ascii="Liberation Serif" w:hAnsi="Liberation Serif" w:cs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Liberation Serif" w:hAnsi="Liberation Serif" w:cs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 результатах проведения конкурсного отбора </w:t>
      </w:r>
    </w:p>
    <w:p>
      <w:pPr>
        <w:pStyle w:val="Normal"/>
        <w:ind w:left="0" w:right="0" w:firstLine="709"/>
        <w:jc w:val="center"/>
        <w:rPr>
          <w:i w:val="false"/>
          <w:i w:val="false"/>
          <w:iCs w:val="false"/>
        </w:rPr>
      </w:pP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>проектов инициативного бюджетирования</w:t>
      </w:r>
      <w:r>
        <w:rPr>
          <w:rFonts w:cs="Liberation Serif" w:ascii="Liberation Serif" w:hAnsi="Liberation Serif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center"/>
        <w:rPr>
          <w:i w:val="false"/>
          <w:i w:val="false"/>
          <w:iCs w:val="false"/>
        </w:rPr>
      </w:pP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>в</w:t>
      </w:r>
      <w:r>
        <w:rPr>
          <w:rFonts w:cs="Liberation Serif" w:ascii="Liberation Serif" w:hAnsi="Liberation Serif"/>
          <w:i w:val="false"/>
          <w:iCs w:val="false"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Камышловском городском округе в 2022 году  </w:t>
      </w:r>
    </w:p>
    <w:p>
      <w:pPr>
        <w:pStyle w:val="ConsPlusTitle"/>
        <w:widowControl/>
        <w:ind w:left="0" w:right="0" w:hanging="0"/>
        <w:jc w:val="center"/>
        <w:rPr>
          <w:rFonts w:ascii="Liberation Serif" w:hAnsi="Liberation Serif" w:cs="Liberation Serif"/>
          <w:i/>
          <w:i/>
          <w:sz w:val="28"/>
          <w:szCs w:val="28"/>
        </w:rPr>
      </w:pPr>
      <w:r>
        <w:rPr>
          <w:rFonts w:cs="Liberation Serif" w:ascii="Liberation Serif" w:hAnsi="Liberation Serif"/>
          <w:i/>
          <w:sz w:val="28"/>
          <w:szCs w:val="28"/>
        </w:rPr>
        <w:t xml:space="preserve"> </w:t>
      </w:r>
    </w:p>
    <w:p>
      <w:pPr>
        <w:pStyle w:val="Normal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Во исполнение постановления администрации Камышловского городского округа от 24.01.2022 №50 «О проведении конкурсного отбора проектов инициативного бюджетирования на территории Камышловского городского округа в 2022 году», руководствуясь протоколом заседания конкурсной комиссии по отбору проектов инициативного бюджетирования в Камышловском городском округе от 14.02.2022 года №3, Уставом Камышловского городского округа, администрация Камышловского городского округа</w:t>
      </w:r>
    </w:p>
    <w:p>
      <w:pPr>
        <w:pStyle w:val="Normal"/>
        <w:spacing w:lineRule="auto" w:line="240"/>
        <w:ind w:left="0" w:right="0" w:hanging="0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ind w:left="0" w:right="0" w:firstLine="72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1.</w:t>
      </w:r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Признать победителями конкурсного отбора проектов инициативного бюджетирования в Камышловском городском округе в 2022 году:</w:t>
      </w:r>
    </w:p>
    <w:p>
      <w:pPr>
        <w:pStyle w:val="Normal"/>
        <w:ind w:left="0" w:righ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проект «ИНЖЕНЕРиУМ» Муниципального автономного дошкольного образовательного учреждения «Детский сад комбинированного вида №16»;</w:t>
      </w:r>
    </w:p>
    <w:p>
      <w:pPr>
        <w:pStyle w:val="Normal"/>
        <w:ind w:left="0" w:righ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проект «Лыжный старт» Муниципального автономного дошкольного образовательного учреждения «Детский сад №14».</w:t>
      </w:r>
    </w:p>
    <w:p>
      <w:pPr>
        <w:pStyle w:val="Normal"/>
        <w:ind w:left="0" w:righ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Комитету по образованию, культуре, спорту и делам молодежи администрации Камышловского городского округа подготовить заявки на участие в конкурсном отборе проектов инициативного бюджетирования на региональном уровне и направить в Министерство экономики и территориального развития Свердловской области.</w:t>
      </w:r>
    </w:p>
    <w:p>
      <w:pPr>
        <w:pStyle w:val="Normal"/>
        <w:ind w:left="0" w:right="0" w:firstLine="72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3. Признать утратившими силу</w:t>
      </w:r>
      <w:r>
        <w:rPr>
          <w:rFonts w:cs="Liberation Serif" w:ascii="Liberation Serif" w:hAnsi="Liberation Serif"/>
          <w:b w:val="false"/>
          <w:bCs w:val="false"/>
          <w:color w:val="000000"/>
          <w:sz w:val="28"/>
          <w:szCs w:val="28"/>
          <w:u w:val="none"/>
        </w:rPr>
        <w:t xml:space="preserve"> постановление </w:t>
      </w:r>
      <w:r>
        <w:rPr>
          <w:rFonts w:cs="Liberation Serif" w:ascii="Liberation Serif" w:hAnsi="Liberation Serif"/>
          <w:b w:val="false"/>
          <w:bCs w:val="false"/>
          <w:color w:val="000000"/>
          <w:sz w:val="28"/>
          <w:szCs w:val="28"/>
          <w:u w:val="none"/>
          <w:lang w:eastAsia="ar-SA"/>
        </w:rPr>
        <w:t>администрации</w:t>
      </w:r>
      <w:r>
        <w:rPr>
          <w:rFonts w:cs="Liberation Serif" w:ascii="Liberation Serif" w:hAnsi="Liberation Serif"/>
          <w:b w:val="false"/>
          <w:bCs w:val="false"/>
          <w:color w:val="000000"/>
          <w:sz w:val="28"/>
          <w:szCs w:val="28"/>
          <w:u w:val="none"/>
        </w:rPr>
        <w:t xml:space="preserve"> Камышловского городского округа от </w:t>
      </w:r>
      <w:r>
        <w:rPr>
          <w:rFonts w:cs="Liberation Serif" w:ascii="Liberation Serif" w:hAnsi="Liberation Serif"/>
          <w:b w:val="false"/>
          <w:bCs w:val="false"/>
          <w:color w:val="000000"/>
          <w:sz w:val="28"/>
          <w:szCs w:val="28"/>
          <w:u w:val="none"/>
          <w:lang w:eastAsia="ar-SA"/>
        </w:rPr>
        <w:t>15.02.2022</w:t>
      </w:r>
      <w:r>
        <w:rPr>
          <w:rFonts w:cs="Liberation Serif" w:ascii="Liberation Serif" w:hAnsi="Liberation Serif"/>
          <w:b w:val="false"/>
          <w:bCs w:val="false"/>
          <w:color w:val="000000"/>
          <w:sz w:val="28"/>
          <w:szCs w:val="28"/>
          <w:u w:val="none"/>
        </w:rPr>
        <w:t xml:space="preserve"> года №124 «О результатах проведения конкурсного отбора проектов инициативного бюджетирования в Камышловском городском округе в 2022 году.</w:t>
      </w:r>
      <w:r>
        <w:rPr>
          <w:rFonts w:cs="Liberation Serif" w:ascii="Liberation Serif" w:hAnsi="Liberation Serif"/>
          <w:b w:val="false"/>
          <w:bCs w:val="false"/>
          <w:color w:val="000000"/>
          <w:sz w:val="28"/>
          <w:szCs w:val="28"/>
          <w:u w:val="none"/>
          <w:lang w:eastAsia="ar-SA"/>
        </w:rPr>
        <w:t xml:space="preserve"> </w:t>
      </w:r>
    </w:p>
    <w:p>
      <w:pPr>
        <w:pStyle w:val="Normal"/>
        <w:ind w:left="0" w:righ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Настоящее постановление опубликовать в газете «Камышловские известия» и разместить на официальном сайте Камышловского городского округа.</w:t>
      </w:r>
    </w:p>
    <w:p>
      <w:pPr>
        <w:pStyle w:val="Normal"/>
        <w:ind w:left="0" w:right="0" w:firstLine="709"/>
        <w:jc w:val="both"/>
        <w:rPr>
          <w:rFonts w:ascii="Liberation Serif" w:hAnsi="Liberation Serif" w:cs="Liberation Serif"/>
          <w:b w:val="false"/>
          <w:b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sz w:val="28"/>
          <w:szCs w:val="28"/>
        </w:rPr>
        <w:t>5. Контроль за выполнением настоящего постановления оставляю за собой.</w:t>
      </w:r>
    </w:p>
    <w:p>
      <w:pPr>
        <w:pStyle w:val="ConsPlusTitle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 w:val="false"/>
        <w:suppressAutoHyphens w:val="true"/>
        <w:bidi w:val="0"/>
        <w:ind w:left="0" w:right="0" w:hanging="0"/>
        <w:jc w:val="both"/>
        <w:textAlignment w:val="auto"/>
        <w:rPr>
          <w:rFonts w:ascii="Liberation Serif" w:hAnsi="Liberation Serif" w:cs="Liberation Serif"/>
          <w:b w:val="false"/>
          <w:b w:val="false"/>
          <w:b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ConsPlusTitle"/>
        <w:widowControl w:val="false"/>
        <w:suppressAutoHyphens w:val="true"/>
        <w:bidi w:val="0"/>
        <w:ind w:left="0" w:right="0" w:hanging="0"/>
        <w:jc w:val="both"/>
        <w:textAlignment w:val="auto"/>
        <w:rPr>
          <w:rFonts w:ascii="Liberation Serif" w:hAnsi="Liberation Serif" w:cs="Liberation Serif"/>
          <w:b w:val="false"/>
          <w:b w:val="false"/>
          <w:b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850" w:top="1275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widowControl/>
      <w:suppressAutoHyphens w:val="true"/>
      <w:bidi w:val="0"/>
      <w:ind w:left="0" w:right="0" w:firstLine="709"/>
      <w:jc w:val="center"/>
      <w:textAlignment w:val="auto"/>
      <w:rPr>
        <w:rFonts w:ascii="Times New Roman" w:hAnsi="Times New Roman" w:eastAsia="Times New Roman"/>
        <w:color w:val="auto"/>
        <w:kern w:val="2"/>
        <w:sz w:val="24"/>
        <w:szCs w:val="24"/>
        <w:lang w:val="ru-RU" w:eastAsia="ar-SA"/>
      </w:rPr>
    </w:pPr>
    <w:r>
      <w:rPr>
        <w:rFonts w:eastAsia="Times New Roman"/>
        <w:color w:val="auto"/>
        <w:kern w:val="2"/>
        <w:sz w:val="24"/>
        <w:szCs w:val="24"/>
        <w:lang w:val="ru-RU" w:eastAsia="ar-SA"/>
      </w:rPr>
    </w:r>
  </w:p>
</w:hdr>
</file>

<file path=word/settings.xml><?xml version="1.0" encoding="utf-8"?>
<w:settings xmlns:w="http://schemas.openxmlformats.org/wordprocessingml/2006/main">
  <w:zoom w:percent="171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ind w:left="0" w:right="0" w:firstLine="720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0"/>
      <w:szCs w:val="20"/>
      <w:lang w:val="ru-RU" w:eastAsia="hi-IN" w:bidi="hi-IN"/>
    </w:rPr>
  </w:style>
  <w:style w:type="character" w:styleId="DefaultParagraphFont">
    <w:name w:val="Default Paragraph Font"/>
    <w:qFormat/>
    <w:rPr/>
  </w:style>
  <w:style w:type="character" w:styleId="Style14">
    <w:name w:val="Текст сноски Знак"/>
    <w:basedOn w:val="DefaultParagraphFont"/>
    <w:qFormat/>
    <w:rPr/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16">
    <w:name w:val="Текст выноски Знак"/>
    <w:basedOn w:val="DefaultParagraphFont"/>
    <w:qFormat/>
    <w:rPr>
      <w:rFonts w:ascii="Tahoma" w:hAnsi="Tahoma" w:eastAsia="Tahoma"/>
      <w:sz w:val="16"/>
      <w:szCs w:val="16"/>
    </w:rPr>
  </w:style>
  <w:style w:type="character" w:styleId="Style17">
    <w:name w:val="Верхний колонтитул Знак"/>
    <w:basedOn w:val="DefaultParagraphFont"/>
    <w:qFormat/>
    <w:rPr/>
  </w:style>
  <w:style w:type="character" w:styleId="Style18">
    <w:name w:val="Нижний колонтитул Знак"/>
    <w:basedOn w:val="DefaultParagraphFont"/>
    <w:qFormat/>
    <w:rPr/>
  </w:style>
  <w:style w:type="character" w:styleId="FontStyle11">
    <w:name w:val="Font Style11"/>
    <w:qFormat/>
    <w:rPr>
      <w:rFonts w:ascii="Times New Roman" w:hAnsi="Times New Roman" w:eastAsia="Times New Roman"/>
      <w:b/>
      <w:spacing w:val="10"/>
      <w:sz w:val="26"/>
    </w:rPr>
  </w:style>
  <w:style w:type="character" w:styleId="FontStyle12">
    <w:name w:val="Font Style12"/>
    <w:qFormat/>
    <w:rPr>
      <w:rFonts w:ascii="Times New Roman" w:hAnsi="Times New Roman" w:eastAsia="Times New Roman"/>
      <w:spacing w:val="10"/>
      <w:sz w:val="24"/>
    </w:rPr>
  </w:style>
  <w:style w:type="character" w:styleId="2">
    <w:name w:val="Основной текст 2 Знак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Style19">
    <w:name w:val="Основной текст Знак"/>
    <w:basedOn w:val="DefaultParagraphFont"/>
    <w:qFormat/>
    <w:rPr/>
  </w:style>
  <w:style w:type="character" w:styleId="21">
    <w:name w:val="Заголовок 2 Знак"/>
    <w:qFormat/>
    <w:rPr>
      <w:rFonts w:ascii="Cambria" w:hAnsi="Cambria" w:eastAsia="Times New Roman"/>
      <w:b/>
      <w:bCs/>
      <w:i/>
      <w:iCs/>
      <w:sz w:val="28"/>
      <w:szCs w:val="28"/>
    </w:rPr>
  </w:style>
  <w:style w:type="character" w:styleId="1">
    <w:name w:val="Заголовок 1 Знак"/>
    <w:qFormat/>
    <w:rPr>
      <w:rFonts w:eastAsia="Arial Unicode MS"/>
      <w:bCs/>
      <w:szCs w:val="24"/>
    </w:rPr>
  </w:style>
  <w:style w:type="character" w:styleId="Style20">
    <w:name w:val="Основной шрифт абзаца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  <w:ind w:left="0" w:right="0" w:firstLine="720"/>
    </w:pPr>
    <w:rPr>
      <w:rFonts w:ascii="PT Astra Serif" w:hAnsi="PT Astra Serif"/>
      <w:sz w:val="28"/>
      <w:szCs w:val="28"/>
      <w:lang w:eastAsia="ar-SA"/>
    </w:rPr>
  </w:style>
  <w:style w:type="paragraph" w:styleId="Style22">
    <w:name w:val="Body Text"/>
    <w:basedOn w:val="Normal"/>
    <w:pPr>
      <w:spacing w:before="0" w:after="120"/>
      <w:ind w:left="0" w:right="0" w:firstLine="720"/>
    </w:pPr>
    <w:rPr>
      <w:lang w:eastAsia="ar-SA"/>
    </w:rPr>
  </w:style>
  <w:style w:type="paragraph" w:styleId="Style23">
    <w:name w:val="List"/>
    <w:basedOn w:val="Style22"/>
    <w:pPr>
      <w:spacing w:before="0" w:after="120"/>
      <w:ind w:left="0" w:right="0" w:firstLine="720"/>
    </w:pPr>
    <w:rPr>
      <w:rFonts w:ascii="PT Astra Serif" w:hAnsi="PT Astra Serif"/>
      <w:lang w:eastAsia="ar-SA"/>
    </w:rPr>
  </w:style>
  <w:style w:type="paragraph" w:styleId="Style24">
    <w:name w:val="Caption"/>
    <w:basedOn w:val="Normal"/>
    <w:qFormat/>
    <w:pPr>
      <w:spacing w:before="120" w:after="120"/>
      <w:ind w:left="0" w:right="0" w:firstLine="720"/>
    </w:pPr>
    <w:rPr>
      <w:rFonts w:ascii="PT Astra Serif" w:hAnsi="PT Astra Serif"/>
      <w:i/>
      <w:iCs/>
      <w:sz w:val="24"/>
      <w:szCs w:val="24"/>
      <w:lang w:eastAsia="ar-SA"/>
    </w:rPr>
  </w:style>
  <w:style w:type="paragraph" w:styleId="Style25">
    <w:name w:val="Указатель"/>
    <w:basedOn w:val="Normal"/>
    <w:qFormat/>
    <w:pPr>
      <w:ind w:left="0" w:right="0" w:firstLine="720"/>
    </w:pPr>
    <w:rPr>
      <w:rFonts w:ascii="PT Astra Serif" w:hAnsi="PT Astra Serif"/>
      <w:lang w:eastAsia="ar-SA"/>
    </w:rPr>
  </w:style>
  <w:style w:type="paragraph" w:styleId="NormalTable">
    <w:name w:val="Normal Table"/>
    <w:qFormat/>
    <w:pPr>
      <w:widowControl/>
      <w:suppressAutoHyphens w:val="true"/>
      <w:kinsoku w:val="true"/>
      <w:overflowPunct w:val="true"/>
      <w:autoSpaceDE w:val="true"/>
      <w:bidi w:val="0"/>
      <w:spacing w:lineRule="auto" w:line="252" w:before="0" w:after="160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2"/>
      <w:szCs w:val="22"/>
      <w:lang w:val="ru-RU" w:eastAsia="hi-IN" w:bidi="hi-IN"/>
    </w:rPr>
  </w:style>
  <w:style w:type="paragraph" w:styleId="Style26">
    <w:name w:val="Footnote Text"/>
    <w:basedOn w:val="Normal"/>
    <w:pPr>
      <w:ind w:left="0" w:right="0" w:firstLine="709"/>
    </w:pPr>
    <w:rPr>
      <w:lang w:eastAsia="ar-SA"/>
    </w:rPr>
  </w:style>
  <w:style w:type="paragraph" w:styleId="BalloonText">
    <w:name w:val="Balloon Text"/>
    <w:basedOn w:val="Normal"/>
    <w:qFormat/>
    <w:pPr>
      <w:ind w:left="0" w:right="0" w:firstLine="709"/>
    </w:pPr>
    <w:rPr>
      <w:rFonts w:ascii="Tahoma" w:hAnsi="Tahoma"/>
      <w:sz w:val="16"/>
      <w:szCs w:val="16"/>
      <w:lang w:eastAsia="ar-SA"/>
    </w:rPr>
  </w:style>
  <w:style w:type="paragraph" w:styleId="Style27">
    <w:name w:val="Верхний и нижний колонтитулы"/>
    <w:basedOn w:val="Normal"/>
    <w:qFormat/>
    <w:pPr>
      <w:ind w:left="0" w:right="0" w:firstLine="720"/>
    </w:pPr>
    <w:rPr>
      <w:lang w:eastAsia="ar-SA"/>
    </w:rPr>
  </w:style>
  <w:style w:type="paragraph" w:styleId="Style28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ind w:left="0" w:right="0" w:firstLine="709"/>
    </w:pPr>
    <w:rPr>
      <w:sz w:val="28"/>
      <w:szCs w:val="22"/>
      <w:lang w:eastAsia="ar-SA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ind w:left="0" w:right="0" w:firstLine="709"/>
    </w:pPr>
    <w:rPr>
      <w:sz w:val="28"/>
      <w:szCs w:val="22"/>
      <w:lang w:eastAsia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Liberation Serif" w:cs="Liberation Serif"/>
      <w:color w:val="auto"/>
      <w:kern w:val="2"/>
      <w:sz w:val="22"/>
      <w:szCs w:val="20"/>
      <w:lang w:val="ru-RU" w:eastAsia="hi-IN" w:bidi="hi-IN"/>
    </w:rPr>
  </w:style>
  <w:style w:type="paragraph" w:styleId="ListParagraph">
    <w:name w:val="List Paragraph"/>
    <w:basedOn w:val="Normal"/>
    <w:qFormat/>
    <w:pPr>
      <w:spacing w:lineRule="auto" w:line="360" w:before="0" w:after="0"/>
      <w:ind w:left="720" w:right="0" w:firstLine="709"/>
      <w:contextualSpacing/>
    </w:pPr>
    <w:rPr>
      <w:sz w:val="28"/>
      <w:szCs w:val="22"/>
      <w:lang w:eastAsia="ar-SA"/>
    </w:rPr>
  </w:style>
  <w:style w:type="paragraph" w:styleId="NormalWeb">
    <w:name w:val="Normal (Web)"/>
    <w:basedOn w:val="Normal"/>
    <w:qFormat/>
    <w:pPr>
      <w:spacing w:before="100" w:after="100"/>
      <w:ind w:left="0" w:right="0" w:hanging="0"/>
    </w:pPr>
    <w:rPr>
      <w:sz w:val="24"/>
      <w:szCs w:val="24"/>
      <w:lang w:eastAsia="ar-SA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Liberation Serif" w:cs="Liberation Serif"/>
      <w:b/>
      <w:color w:val="auto"/>
      <w:kern w:val="2"/>
      <w:sz w:val="22"/>
      <w:szCs w:val="20"/>
      <w:lang w:val="ru-RU" w:eastAsia="hi-IN" w:bidi="hi-IN"/>
    </w:rPr>
  </w:style>
  <w:style w:type="paragraph" w:styleId="Style210">
    <w:name w:val="Style2"/>
    <w:basedOn w:val="Normal"/>
    <w:qFormat/>
    <w:pPr>
      <w:widowControl w:val="false"/>
      <w:spacing w:lineRule="exact" w:line="480"/>
      <w:ind w:left="0" w:right="0" w:firstLine="713"/>
      <w:jc w:val="both"/>
    </w:pPr>
    <w:rPr>
      <w:sz w:val="24"/>
      <w:szCs w:val="24"/>
      <w:lang w:eastAsia="ar-SA"/>
    </w:rPr>
  </w:style>
  <w:style w:type="paragraph" w:styleId="BodyText2">
    <w:name w:val="Body Text 2"/>
    <w:basedOn w:val="Normal"/>
    <w:qFormat/>
    <w:pPr>
      <w:widowControl w:val="false"/>
      <w:spacing w:lineRule="auto" w:line="480" w:before="0" w:after="120"/>
      <w:ind w:left="0" w:right="0" w:hanging="0"/>
    </w:pPr>
    <w:rPr>
      <w:lang w:eastAsia="ar-SA"/>
    </w:rPr>
  </w:style>
  <w:style w:type="paragraph" w:styleId="Formattext">
    <w:name w:val="formattext"/>
    <w:basedOn w:val="Normal"/>
    <w:qFormat/>
    <w:pPr>
      <w:spacing w:before="100" w:after="100"/>
      <w:ind w:left="0" w:right="0" w:hanging="0"/>
    </w:pPr>
    <w:rPr>
      <w:sz w:val="24"/>
      <w:szCs w:val="24"/>
      <w:lang w:eastAsia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Courier New" w:hAnsi="Courier New" w:eastAsia="Liberation Serif" w:cs="Liberation Serif"/>
      <w:color w:val="auto"/>
      <w:kern w:val="2"/>
      <w:sz w:val="20"/>
      <w:szCs w:val="20"/>
      <w:lang w:val="ru-RU" w:eastAsia="hi-IN" w:bidi="hi-IN"/>
    </w:rPr>
  </w:style>
  <w:style w:type="paragraph" w:styleId="TableGrid">
    <w:name w:val="Table Grid"/>
    <w:basedOn w:val="NormalTable"/>
    <w:qFormat/>
    <w:pPr>
      <w:spacing w:lineRule="auto" w:line="252" w:before="0" w:after="160"/>
      <w:ind w:left="0" w:right="0" w:hanging="0"/>
    </w:pPr>
    <w:rPr>
      <w:sz w:val="22"/>
      <w:szCs w:val="22"/>
      <w:lang w:eastAsia="ar-SA"/>
    </w:rPr>
  </w:style>
  <w:style w:type="paragraph" w:styleId="11">
    <w:name w:val="Сетка таблицы1"/>
    <w:basedOn w:val="NormalTable"/>
    <w:qFormat/>
    <w:pPr>
      <w:spacing w:lineRule="auto" w:line="252" w:before="0" w:after="160"/>
      <w:ind w:left="0" w:right="0" w:hanging="0"/>
    </w:pPr>
    <w:rPr>
      <w:rFonts w:ascii="Calibri" w:hAnsi="Calibri"/>
      <w:sz w:val="22"/>
      <w:szCs w:val="22"/>
      <w:lang w:eastAsia="ar-SA"/>
    </w:rPr>
  </w:style>
  <w:style w:type="paragraph" w:styleId="Style30">
    <w:name w:val="Содержимое таблицы"/>
    <w:basedOn w:val="Normal"/>
    <w:qFormat/>
    <w:pPr>
      <w:ind w:left="0" w:right="0" w:firstLine="720"/>
    </w:pPr>
    <w:rPr>
      <w:lang w:eastAsia="ar-SA"/>
    </w:rPr>
  </w:style>
  <w:style w:type="paragraph" w:styleId="Style31">
    <w:name w:val="Заголовок таблицы"/>
    <w:basedOn w:val="Style30"/>
    <w:qFormat/>
    <w:pPr>
      <w:ind w:left="0" w:right="0" w:firstLine="720"/>
      <w:jc w:val="center"/>
    </w:pPr>
    <w:rPr>
      <w:b/>
      <w:bCs/>
      <w:lang w:eastAsia="ar-SA"/>
    </w:rPr>
  </w:style>
  <w:style w:type="paragraph" w:styleId="Style32">
    <w:name w:val="Абзац списка"/>
    <w:qFormat/>
    <w:pPr>
      <w:widowControl w:val="false"/>
      <w:suppressAutoHyphens w:val="true"/>
      <w:kinsoku w:val="true"/>
      <w:overflowPunct w:val="true"/>
      <w:autoSpaceDE w:val="true"/>
      <w:bidi w:val="0"/>
      <w:ind w:left="720" w:right="0" w:hanging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33">
    <w:name w:val="Текст выноски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ahoma" w:hAnsi="Tahoma" w:eastAsia="Tahoma" w:cs="Noto Sans Devanagari"/>
      <w:color w:val="auto"/>
      <w:kern w:val="2"/>
      <w:sz w:val="16"/>
      <w:szCs w:val="16"/>
      <w:lang w:val="ru-RU" w:eastAsia="zh-CN" w:bidi="hi-IN"/>
    </w:rPr>
  </w:style>
  <w:style w:type="paragraph" w:styleId="Style34">
    <w:name w:val="Обычный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PT Astra Serif" w:hAnsi="PT Astra Serif" w:eastAsia="0" w:cs="PT Astra Serif"/>
      <w:color w:val="auto"/>
      <w:kern w:val="2"/>
      <w:sz w:val="24"/>
      <w:szCs w:val="24"/>
      <w:lang w:val="ru-RU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224</Words>
  <Characters>1660</Characters>
  <CharactersWithSpaces>1962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Подъячева Людмила Владимировна</dc:creator>
  <dc:description/>
  <dc:language>ru-RU</dc:language>
  <cp:lastModifiedBy/>
  <cp:lastPrinted>2022-02-21T15:22:15Z</cp:lastPrinted>
  <dcterms:modified xsi:type="dcterms:W3CDTF">2022-02-22T15:23:23Z</dcterms:modified>
  <cp:revision>3</cp:revision>
  <dc:subject/>
  <dc:title>МОДЕЛЬНЫЙ ПОРЯДОК ПРЕДОСТАВЛЕНИЯ МУНИЦИПАЛЬНЫХ ГАРАНТИЙ ПО ИНВЕСТИЦИОННЫМ ПРОЕКТАМ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ОЛЯ</vt:lpwstr>
  </property>
</Properties>
</file>