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9"/>
        <w:bidi w:val="0"/>
        <w:jc w:val="center"/>
        <w:rPr/>
      </w:pPr>
      <w:r>
        <w:rPr/>
        <w:drawing>
          <wp:inline distT="0" distB="0" distL="0" distR="0">
            <wp:extent cx="421640" cy="5937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1" t="-165" r="-271" b="-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9"/>
        <w:widowControl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Style29"/>
        <w:widowControl/>
        <w:tabs>
          <w:tab w:val="clear" w:pos="708"/>
          <w:tab w:val="left" w:pos="28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8"/>
          <w:rFonts w:cs="Liberation Serif;Times New Roman" w:ascii="Liberation Serif" w:hAnsi="Liberation Serif"/>
          <w:b/>
          <w:bCs/>
          <w:sz w:val="28"/>
          <w:szCs w:val="28"/>
        </w:rPr>
        <w:t>от 27.12.2023 № 148</w:t>
      </w:r>
      <w:r>
        <w:rPr>
          <w:rStyle w:val="Style18"/>
          <w:rFonts w:cs="Liberation Serif;Times New Roman" w:ascii="Liberation Serif" w:hAnsi="Liberation Serif"/>
          <w:b/>
          <w:bCs/>
          <w:sz w:val="28"/>
          <w:szCs w:val="28"/>
        </w:rPr>
        <w:t>4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(«дорожной карты»)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по 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улучшению состояния инвестиционного климата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</w:rPr>
        <w:t>в Камышловском городском округе на 2024 год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 «Планом мероприятий («дорожной карты») по повышению позиций Свердловской области в Национальном рейтинге состояния инвестиционного климата в субъектах Российской Федерации на 2023-2024 годы» от 22.11.2023 № 01-01-40/96, в целях улучшения состояния инвестиционного климата на территории Камышловского городского округа, повышения позиций Камышловского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1. Утвердить План мероприятий («дорожную карту») по улучшению состояния инвестиционного климата в Камышловском городском округе на 202</w:t>
      </w:r>
      <w:r>
        <w:rPr>
          <w:rFonts w:eastAsia="Calibri" w:ascii="Liberation Serif" w:hAnsi="Liberation Serif"/>
          <w:color w:val="000000"/>
          <w:spacing w:val="-2"/>
          <w:kern w:val="0"/>
          <w:sz w:val="28"/>
          <w:szCs w:val="28"/>
          <w:lang w:val="ru-RU" w:eastAsia="en-US" w:bidi="ar-SA"/>
        </w:rPr>
        <w:t>4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 xml:space="preserve"> год (прилагается).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и газете «Камышловские известия».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auto" w:line="240"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hd w:fill="FFFFFF" w:val="clear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4093" w:type="dxa"/>
        <w:jc w:val="left"/>
        <w:tblInd w:w="110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</w:tblGrid>
      <w:tr>
        <w:trPr>
          <w:trHeight w:val="1185" w:hRule="atLeast"/>
        </w:trPr>
        <w:tc>
          <w:tcPr>
            <w:tcW w:w="40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eastAsia="Calibri" w:cs="Liberation Serif"/>
                <w:b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п</w:t>
            </w: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остановлением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Камышловского городского округа                                                                                                                                  от </w:t>
            </w: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27.12.2023</w:t>
            </w: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№ </w:t>
            </w: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1484</w:t>
            </w: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             </w:t>
      </w:r>
      <w:r>
        <w:rPr>
          <w:rFonts w:eastAsia="Calibri" w:cs="Liberation Serif" w:ascii="Liberation Serif" w:hAnsi="Liberation Serif"/>
          <w:b/>
          <w:sz w:val="28"/>
          <w:szCs w:val="28"/>
        </w:rPr>
        <w:t>ПЛАН МЕРОПРИЯТИЙ («ДОРОЖНАЯ КАРТА»)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Liberation Serif" w:ascii="Liberation Serif" w:hAnsi="Liberation Serif"/>
          <w:b/>
          <w:sz w:val="28"/>
          <w:szCs w:val="28"/>
        </w:rPr>
        <w:t>по улучшению состояния инвестиционного климата в Камышловском городском округе на 202</w:t>
      </w:r>
      <w:r>
        <w:rPr>
          <w:rFonts w:eastAsia="Calibri" w:cs="Liberation Serif" w:ascii="Liberation Serif" w:hAnsi="Liberation Serif"/>
          <w:b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год</w:t>
      </w:r>
    </w:p>
    <w:tbl>
      <w:tblPr>
        <w:tblW w:w="15600" w:type="dxa"/>
        <w:jc w:val="left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"/>
        <w:gridCol w:w="3920"/>
        <w:gridCol w:w="1304"/>
        <w:gridCol w:w="1351"/>
        <w:gridCol w:w="688"/>
        <w:gridCol w:w="4137"/>
        <w:gridCol w:w="1540"/>
        <w:gridCol w:w="209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Номер строки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Раздел рейтинга/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Значение показателя за 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год  (итоги подводятся в 2023 году)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Планируемое значение показателя на 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год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(итоги подводятся в 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году)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Номер мероприятия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Мероприятие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Срок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исполнения мероприятия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Ответственный за достижение результата и реализацию мероприятия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8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 Регуляторная среда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А.2. Повышение эффективности процедур по выдаче разрешений на строительство</w:t>
            </w:r>
          </w:p>
        </w:tc>
      </w:tr>
      <w:tr>
        <w:trPr/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А.2.1 Среднее время получения разрешения на строительство (рабочих дней)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61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Мониторинг и выявление нарушений сроков осуществления процедур, необходимых для получения разрешения на строительство.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Принятие мер оперативного реагирования по итогам проведенного мониторинга.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А2.2.Среднее количество процедур, необходимых для получения разрешений на строительство (штук)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Мониторинг размещения актуализированной информации о муниципальных услугах по выдаче разрешения на строительство на официальном сайте администрации Камышловского городского округа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А2.3. Удовлетворенность деятельностью администрации Камышловского городского на выдачу разрешений на строительство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4,6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4,7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Реализация плана-графика по ведению в Свердловской области алгоритма действий инвестора для получения разрешения на строительство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bookmarkStart w:id="0" w:name="__DdeLink__6716_4222665202"/>
            <w:bookmarkStart w:id="1" w:name="__DdeLink__4781_4222665202"/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  <w:bookmarkEnd w:id="0"/>
            <w:bookmarkEnd w:id="1"/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 xml:space="preserve">Обеспечение наполнения и ведения системы государственной информационной системы обеспечения градостроительной деятельности, с целью цифровизации информации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bookmarkStart w:id="2" w:name="__DdeLink__7176_4222665202"/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  <w:bookmarkEnd w:id="2"/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Направление в Министерство инвестиций и развития Свердловской области перечня респондентов, получивших разрешение на строительство в отчетном квартале, для проведения опроса о качестве оказания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 опросов, с представлением в Министерство инвестиций и развития Свердловской области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401" w:hRule="atLeast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А.3. Повышение эффективности процедур по регистрации прав собственности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А3.2. Среднее количество процедур, необходимых для регистрации прав собственности юридических лиц и индивидуальных предпринимателей на недвижимое имущество (кроме права собственности на земельный участок) (штук)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Представление заявлений и прилагаемых к ним документов в соответствии с частью 2 статьи 19 Федерального закона от 13 июля 2015 года №218-ФЗ «О государственной регистрации недвижимости» в электронном виде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408" w:hRule="atLeast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А.7. Эффективность процедур по подключению к сетям водоснабжения и водоотведения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А7.3. Удовлетворенность эффективностью процедур по подключению к сетям водоснабжения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4,2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Направление в Министерство инвестиций и развития Свердловской области перечня респондентов, получивших услугу по технологическому присоединению к сетям водоснабжения в отчетном квартале, для проведения опроса о качестве оказанных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 опросов, с представлением в Министерство инвестиций развития Свердловской области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А.7.6 Удовлетворенность эффективностью процедур по подключению к сетям водоотведения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4,2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Направление в Министерство инвестиций и развития Свердловской области перечня респондентов, получивших услугу по технологическому присоединению к сетям водоотведения в отчетном квартале, для проведения опроса о качестве оказанных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11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11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развития Свердловской области информации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А.8. Эффективность процедур по подключению к сетям теплоснабжения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А.8.1 Среднее время подключения к сетям теплоснабжения (рабочих дней)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4,2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Обеспечение сетевыми организациями преимущественного исполнения обязательств, предусмотренных договорами технологического присоединения, заключенными с заявителями-респондентами, собственными силами (хозяйственным способом) без привлечения сторонних подрядных организаций и проведения дополнительных конкурсных процедур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постоянно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МУП «Теплоснабжающая организация»</w:t>
            </w:r>
          </w:p>
        </w:tc>
      </w:tr>
      <w:tr>
        <w:trPr>
          <w:trHeight w:val="14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13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Обеспечение сетевыми организациями наличия складского запаса необходимого оборудования для исполнения обязательств по договорам технологического присоединения, заключенным с заявителями-респондентами, в целях исключения необходимости проведения дополнительных закупочных процедур для его приобретения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постоянно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МУП «Теплоснабжающая организация»</w:t>
            </w:r>
          </w:p>
        </w:tc>
      </w:tr>
      <w:tr>
        <w:trPr>
          <w:trHeight w:val="14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А.8.2 Среднее количество процедур, необходимых для подключения к сетям теплоснабжения (штук)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Обеспечение сетевыми организациями количества взаимодействия с заявителями-респондентами в процессе предоставления услуг по технологическому присоединению до момента получения услуги в пределах четырех обращений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постоянно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МУП «Теплоснабжающая организация»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15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А.8.3 Удовлетворенность эффективностью процедур по подключению к сетям теплоснабжения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Обеспечение сетевыми организациями разработки и внедрения для заявителей-респондентов концепции услуги «персональный менеджер-конкультант» со дня получения заявок на технологическое присоединение и до момента полного исполнения договорных обязательств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постоянно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МУП «Теплоснабжающая организация»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Направление в Министерство инвестиций и развития Свердловской области перечней респондентов, получивших услугу по технологическому присоединению к сетям теплоснабжения в отчетном квартале, для проведения опроса о качестве оказанных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 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17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развития Свердловской области информации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А.9. Эффективность процедур по вводу объекта в эксплуатацию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18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А.9.1 Среднее время получения разрешений на ввод в эксплуатацию жилого объекта или здания нежилого назначения (рабочих дней)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5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Осуществление регулярного мониторинга предельного срока прохождения процедур, необходимых для получения разрешений на ввод в эксплуатацию объекта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19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постоянно,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А.9.2 Среднее количество процедур, необходимых для получения разрешений на ввод в эксплуатацию жилого объекта или здания нежилого назначения (штук)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5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Контроль за размещением актуализированной информации о муниципальных услугах по выдаче разрешения на ввод в эксплуатацию жилого объекта или здания нежилого назначения на официальном сайте администрации Камышловского городского округа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21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А.9.3. Удовлетворенность эффективностью процедур, необходимых для получения разрешений на ввод в эксплуатацию жилого объекта или здания нежилого назначения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4,6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4,7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Реализация плана-графика по ведению в Свердловской области алгоритма действий инвестора для получения разрешения  на ввод в эксплуатацию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22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 xml:space="preserve">Обеспечение наполнения и ведения системы государственной информационной системы обеспечения градостроительной деятельности, с целью цифровизации информации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23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Передача в Министерство инвестиций и развития Свердловской области перечней респондентов, получивших разрешение на ввод объекта в эксплуатацию в отчетном квартале, для проведения опроса о качестве оказанных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24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развития Свердловской области информации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А.10. Эффективность процедур по получению в аренду земельных участков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А10.1. Среднее время получения в аренду земельных участков (без проведения торгов) (рабочих дней)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38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(без торгов), и реагирование на информацию о нарушении сроков, предусмотренных алгоритмом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26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Приведение к единообразию сроков предоставления в аренду земельного участка без проведения торгов в случаях, установленных под пунктом 3 пункта 2 статьи 396 Земельного кодекса Российской Федерации и подпунктом «б» пункта 1 постановления Правительства Российской Федерации от 09.04.2022 №629 «Об особенностях регулирования земельных отношений в Российской Федерации в 2022 и 2023 годах», в т.ч. указанных в административных регламентах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А10.2. Среднее количество процедур для получения в аренду земельных участков (без проведения торгов) (штук)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(без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28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А10.3. Удовлетворенность эффективностью процедур по получению в аренду земельных участков (без проведения торгов)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4,4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Оптимизация сроков и процедур по итогам актуализации алгоритма действий инвестора для получения земельного участка в аренду (без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29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Реализация плана-графика по внедрению и ведению в Свердловской области алгоритма действий инвестора для получения земельного участка в аренду (без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30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Направление в Министерство инвестиций и развития Свердловской области перечней респондентов для проведения опроса о качестве оказанных услуг по передаче в аренду земельных участков (без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31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развития Свердловской области информации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32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Мониторинг размещения информационных материалов о предоставлении услуг по передаче в аренду земельных участков (без проведения торгов) на официальном сайте администрации Камышловского городского округа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33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Согласование сведений с Управлением Росреестра для н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аполнени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я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 слоя «Земля для стройки» на публичной кадастровой карте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https://pkk.rosreestr.gov.ru/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ежемесячно,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34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Согласование сведений с Управлением Росреестра для наполнения слоя «Земля для туризма» на публичной кадастровой карте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https://pkk.rosreestr.gov.ru/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ежемесячно,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35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Направление информации в АНО «Агентство по привлечению инвестиций Свердловской области» для наполнения инвестиционной карты Свердловской области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36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Реализация мероприятий по проекту «Наполнение Единого государственного реестра недвижимости необходимыми сведениями»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ежемесячно,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37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(без проведения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постоянно,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38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Направление запросов в уполномоченные органы в порядке межведомственного информационного взаимодействия при оказании муниципальных услуг по передаче в аренду земельных участков (без проведения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постоянно,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39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Обеспечение возможности получения услуги по передаче в аренду земельного участка без торгов в электронном виде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постоянно,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40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А10.4. Среднее время получения в аренду земельных участков (с проведением торгов) (рабочих дней)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30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(с проведением торгов), и реагирование на информацию о нарушении сроков, предусмотренных алгоритмом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41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Приведение к единообразию процедуры и сроков предоставления в аренду земельного участка на торгах, указанных в административных регламентах предоставления муниципальной услуги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42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Предъявление единообразных требований к пакету документов, необходимых для предоставления к заявлению об участии в торгах на право заключения договора аренды земельного участка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43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Переход к оказанию услуги по предоставлению в аренду земельных участков на торгах в электронном виде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31.12.2023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А10.5. Среднее количество процедур для получения в аренду земельных участков (с проведением торгов) (штук)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(с проведением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45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А10.6. Удовлетворенность эффективностью процедур по получению в аренду земельных участков (с проведением торгов)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4,4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Оптимизация сроков и процедур по итогам актуализации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46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Реализация плана-графика по внедрению и ведению в Свердловской области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47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Направление в Министерство инвестиций и развития Свердловской области перечня респондентов для проведения опроса о качестве оказанных услуг по передаче в аренду земельных участков (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 проведением торгов)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28.06.2024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48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lineRule="auto" w:line="228" w:before="0"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развития Свердловской области информации о принятых мерах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49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Согласование сведений с Управлением Росреестра для н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аполнени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я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 слоя «Земля для стройки» на публичной кадастровой карте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https://pkk.rosreestr.gov.ru/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ежемесячно,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50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Согласование сведений с Управлением Росреестра для н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аполнени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я</w:t>
            </w: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 слоя «Земля для туризма» на публичной кадастровой карте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https://pkk.rosreestr.gov.ru/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ежемесячно,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51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Реализация мероприятий по проекту «Наполнение Единого государственного реестра недвижимости необходимыми сведениями»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52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Проведение обучающих мероприятий для сотрудников администрации Камышловского городского округа в целях повышения качества предоставления муниципальных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53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Обеспечение возможности получения в аренду земельного участка по результатам торгов в электронном виде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Б.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Институты для бизнеса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Б.1. Эффективность институтов, обеспечивающих защищенность бизнеса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54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Б.1.2 Эффективность института оценки регулирующего воздействия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bookmarkStart w:id="3" w:name="__DdeLink__6744_4222665202_Копия_3"/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Обеспечение проведения ОРВ не менее 3 проектов муниципальных НПА, подлежащих оценке регулирующего воздействия, на интернет-портале «Оценка регулирующего воздействия в Свердловской области»</w:t>
            </w:r>
            <w:bookmarkEnd w:id="3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до </w:t>
            </w:r>
            <w:bookmarkStart w:id="4" w:name="__DdeLink__6901_4222665202_Копия_2"/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30.09.20</w:t>
            </w:r>
            <w:bookmarkEnd w:id="4"/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55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Обеспечение проведения экспертизы или оценки фактического воздействия не менее 3 муниципальных НПА на интернет-портале «Оценка регулирующего воздействия в Свердловской области»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до </w:t>
            </w:r>
            <w:bookmarkStart w:id="5" w:name="__DdeLink__6901_4222665202_Копия_2_Копия"/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30.09.20</w:t>
            </w:r>
            <w:bookmarkEnd w:id="5"/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56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Б1.3. Оценка механизма муниципально-частного партнерства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14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68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муниципально-частном партнерстве, размещение указанного перечня на официальном сайте администрации Камышловского городского округа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01.02.2024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57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27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sz w:val="20"/>
                <w:szCs w:val="20"/>
                <w:shd w:fill="auto" w:val="clear"/>
                <w:lang w:eastAsia="ru-RU"/>
              </w:rPr>
              <w:t>Актуализация сведений по проектам МЧП в государственной автоматизированной системе ГАС «Управление»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58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Размещение информации о проектах МЧП на информационном ресурсе «Платформа поддержки инфраструктурных проектов «РОСИНФРА» в сети «Интернет» на сайте </w:t>
            </w:r>
            <w:hyperlink r:id="rId3">
              <w:r>
                <w:rPr>
                  <w:rStyle w:val="-"/>
                  <w:rFonts w:ascii="Liberation Serif" w:hAnsi="Liberation Serif"/>
                  <w:sz w:val="20"/>
                  <w:szCs w:val="20"/>
                  <w:shd w:fill="auto" w:val="clear"/>
                </w:rPr>
                <w:t>https://rosinfra.ru</w:t>
              </w:r>
            </w:hyperlink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с целью привлечения потенциальных инвесторов для реализации проектов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378" w:hRule="atLeast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Б2. Административное давление на бизнес</w:t>
            </w:r>
          </w:p>
        </w:tc>
      </w:tr>
      <w:tr>
        <w:trPr>
          <w:trHeight w:val="477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59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Б2.2. Среднее количество контрольно-надзорных мероприятий (проверок, административных расследований, опросов и других юридически значимых мер), проведенных в отношении одного юридического лица, индивидуального предпринимателя (штук/год)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Проведение с контролируемыми лицами постоянной информационно-разъяснительной работы о прозрачности и удобстве проведения профилактических мероприятий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 до 10 числа месяца, следующего за отчетным периодом,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583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60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Б2.4. Удовлетворенность предпринимателей удобством и понятностью прохождения контрольно-надзорных мероприятий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Обеспечение технической возможности направления электронных документов подконтрольными субъектами через официальные сайты контрольных (надзорных) органов в сети «Интернет» (при условии согласования обоснований бюджетных ассигнований Министерству цифрового развития и связи Свердловской области по проведению доработки типовой платформы официальных сайтов в сети «Интернет» на 2024 год)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61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Обеспечение наличия на официальных сайтах контрольных (надзорных) органов в сети «Интернет» реестра объектов контроля (виджетов) и обеспечение внесения актуальных сведений об объектах контроля в Едином реестре видов контроля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постоянно,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62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Б2.5. Доля предупреждений от общего числа наказаний (процентов)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Обеспечение реализации принципа замены административного штрафа предупреждением при условии впервые совершенного административного правонарушения, при отсутствии причинения вреда или возникновения угрозы причинения вреда жизни и здоровью людей, имущественного ущерба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30.12.2023, 30.09.2024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63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Б2.7. Доля профилактических мероприятий в общем количестве контрольно-надзорных и профилактических мероприятий (процентов)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Обеспечение увеличения количества профилактических мероприятий в общем количестве контрольных (надзорных) и профилактических мероприятий (в процентах)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30.12.2023, 30.09.2024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432" w:hRule="atLeast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>Б3. Повышение эффективности работы организационных механизмов поддержки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64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Б3.2. Эффективность обратной связи и работы канала (каналов) прямой связи инвесторов и руководства администрации Камышловского городского округа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4,6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4,7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Рассмотрение предложений субъектов инвестиционной деятельности на заседании координационного совета по инвестициям и развитию предпринимательства при администрации Камышловского городского в течение 10 рабочих дней с даты принятия к рассмотрению и направления уведомления инициатора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65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Сбор предложений от инвесторов и предпринимателей по улучшению работы органов местного самоуправления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66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Б3.3. Эффективность работы   координационного совета, рассматривающего вопросы привлечения инвестиций и работе с инвесторами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4,2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Актуализация информации об инвестиционных площадках, земельных участках, объектах недвижимости на инвестиционной карте Свердловской области, размещенной на Инвестиционном портале Свердловской области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67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Предоставление информации по запросам АНО «Агентство по привлечению инвестиций Свердловской области», инвестиционных уполномоченных, сформированным по запросам субъектов инвестиционной деятельности, о возможности технического присоединения к объектам инженерной инфраструктуры и технического примыкания к объектам транспортной инфраструктуры в течение 15 дней с целью привлечения новых инвестиционных проектов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постоянно,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МУП «Теплоснабжающая организация»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МУП «Водоснабжающая компания»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ИНФРАСТРУКТУРА И РЕСУРСЫ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shd w:fill="auto" w:val="clear"/>
              </w:rPr>
              <w:t>В.2 Повышение эффективности процедур постановки земельного участка на кадастровый учет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68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В.2.1 Удовлетворенность процедурой постановки на кадастровый учет (средний балл)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4,2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Осуществление мониторинга сроков оказания муниципальных услуг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69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В.2.2 Среднее время прохождения процедуры постановки на кадастровый учет (рабочих дней)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17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Представление документов для осуществления учетно-регистрационных действий в электронном виде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70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В.2.3 Среднее количество процедур, необходимых для постановки на кадастровый учет (штук)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Организация проведения комплексных кадастровых работ в целях вовлечения земельных участков в оборот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71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72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Осуществление мероприятий по исправлению реестровых ошибок в соответствии с установленным порядком в ходе проведения комплексных кадастровых работ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73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Представление документов необходимых для внесения сведений в ЕГРН в соответствии со ст.32 ФЗ от 15.07.2015 №218-ФЗ в порядке межведомственного информационного взаимодействия в электронном виде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>ПОДДЕРЖКА МАЛОГО И СРЕДНЕГО ПРЕДПРИНИМАТЕЛЬСТВА</w:t>
            </w:r>
          </w:p>
        </w:tc>
      </w:tr>
      <w:tr>
        <w:trPr/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>Г3. Повышение эффективности нефинансовой поддержки малого и среднего предпринимательства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74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Г3.1. Удовлетворенность субъектов МСП наличием и доступностью необходимой для ведения бизнеса недвижимости (строений и земельных участков) (средний балл)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4,6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4,7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Публикация пресс-релиза об актуализации реестра имеющихся в наличии незанятых (неиспользуемых) или высвобождаемых объектов муниципального имущества, пригодных для передачи в аренду посредством размещения на официальном сайте администрации Камышловского городского округа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 мере необходимости, но не реже одного раза в квартал,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75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Публикация не менее одного раза в квартал пресс-релиза об актуализации перечней муниципального имущества, предназначенного для предоставления его во владение и (или) пользование на долгосрочной основе субъектам МСП посредством размещения на официальном сайте администрации Камышловского городского округа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по мере необходимости, но не реже одного раза в квартал, 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76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Размещение информации на официальном сайте администрации Камышловского городского округа о процедурах предоставления муниципального имущества и земельных участков в пользование субъектам МСП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77</w:t>
            </w:r>
          </w:p>
        </w:tc>
        <w:tc>
          <w:tcPr>
            <w:tcW w:w="3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Оказание имущественной поддержки субъектам малого и среднего предпринимательства и дополнение муниципального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во владение и (или) пользование субъектам малого и среднего предпринимательства, в том числе на льготных условиях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  <w:t>до 30.09.2024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78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Г.3.2 Отношение количества конкурентных закупок, объявленных с преимуществами у субъектов малого и предпринимательства или социально-ориентированных некоммерческих организаций, к общему количеству конкурентных закупок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70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Проведение анализа по обеспечению установленной доли муниципальных контрактов с субъектами малого предпринимательства </w:t>
            </w: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или социально-ориентированными некоммерческими организациями в объеме не менее 70% общего количества закупок с начальной (максимальной) ценой контракта от 0 до 20 млн. рублей, проводимых конкурентными способами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до 30.09.202</w:t>
            </w:r>
            <w:r>
              <w:rPr>
                <w:rFonts w:eastAsia="Calibri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отдел экономики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</w:r>
          </w:p>
        </w:tc>
      </w:tr>
    </w:tbl>
    <w:p>
      <w:pPr>
        <w:pStyle w:val="Normal"/>
        <w:spacing w:before="0" w:after="16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gutter="0" w:header="709" w:top="993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overflowPunct w:val="tru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7">
    <w:name w:val="Выделение"/>
    <w:qFormat/>
    <w:rPr>
      <w:i/>
      <w:iCs/>
    </w:rPr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8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osinfra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13067</TotalTime>
  <Application>LibreOffice/7.5.2.1$Linux_X86_64 LibreOffice_project/50$Build-1</Application>
  <AppVersion>15.0000</AppVersion>
  <Pages>19</Pages>
  <Words>3905</Words>
  <Characters>29601</Characters>
  <CharactersWithSpaces>33231</CharactersWithSpaces>
  <Paragraphs>602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2019-11-29T09:18:00Z</dcterms:created>
  <dc:creator>ОЛЯ</dc:creator>
  <dc:description/>
  <dc:language>ru-RU</dc:language>
  <cp:lastModifiedBy/>
  <cp:lastPrinted>2023-12-28T11:43:24Z</cp:lastPrinted>
  <dcterms:modified xsi:type="dcterms:W3CDTF">2023-12-28T11:51:03Z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