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Liberation Serif" w:hAnsi="Liberation Serif"/>
          <w:b w:val="false"/>
          <w:b w:val="false"/>
          <w:bCs w:val="false"/>
          <w:sz w:val="24"/>
          <w:szCs w:val="24"/>
        </w:rPr>
      </w:pPr>
      <w:r>
        <w:rPr>
          <w:rFonts w:cs="Liberation Serif" w:ascii="Liberation Serif" w:hAnsi="Liberation Serif"/>
          <w:b w:val="false"/>
          <w:bCs w:val="false"/>
          <w:sz w:val="24"/>
          <w:szCs w:val="24"/>
        </w:rPr>
        <w:t>Приложение №3</w:t>
      </w:r>
    </w:p>
    <w:p>
      <w:pPr>
        <w:pStyle w:val="Normal"/>
        <w:spacing w:lineRule="auto" w:line="240"/>
        <w:jc w:val="left"/>
        <w:rPr>
          <w:rFonts w:ascii="Liberation Serif" w:hAnsi="Liberation Serif"/>
        </w:rPr>
      </w:pPr>
      <w:r>
        <w:rPr>
          <w:rFonts w:cs="Liberation Serif" w:ascii="Liberation Serif" w:hAnsi="Liberation Serif"/>
          <w:b w:val="false"/>
          <w:bCs w:val="false"/>
        </w:rPr>
        <w:t>Форма</w:t>
      </w:r>
    </w:p>
    <w:p>
      <w:pPr>
        <w:pStyle w:val="Normal"/>
        <w:spacing w:lineRule="auto" w:line="240"/>
        <w:jc w:val="center"/>
        <w:rPr>
          <w:sz w:val="24"/>
          <w:szCs w:val="24"/>
        </w:rPr>
      </w:pPr>
      <w:r>
        <w:rPr>
          <w:rFonts w:cs="Liberation Serif" w:ascii="Liberation Serif" w:hAnsi="Liberation Serif"/>
          <w:b/>
          <w:bCs/>
          <w:sz w:val="24"/>
          <w:szCs w:val="24"/>
        </w:rPr>
        <w:t>Отчет</w:t>
      </w:r>
    </w:p>
    <w:p>
      <w:pPr>
        <w:pStyle w:val="Normal"/>
        <w:jc w:val="center"/>
        <w:rPr/>
      </w:pPr>
      <w:r>
        <w:rPr>
          <w:rFonts w:cs="Liberation Serif" w:ascii="Liberation Serif" w:hAnsi="Liberation Serif"/>
          <w:b/>
          <w:bCs/>
          <w:sz w:val="24"/>
          <w:szCs w:val="24"/>
        </w:rPr>
        <w:t>о реализации Плана мероприятий по снижению неформальной занятости за I</w:t>
      </w:r>
      <w:r>
        <w:rPr>
          <w:rFonts w:cs="Liberation Serif" w:ascii="Liberation Serif" w:hAnsi="Liberation Serif"/>
          <w:b/>
          <w:bCs/>
          <w:sz w:val="24"/>
          <w:szCs w:val="24"/>
        </w:rPr>
        <w:t>I</w:t>
      </w:r>
      <w:r>
        <w:rPr>
          <w:rFonts w:cs="Liberation Serif" w:ascii="Liberation Serif" w:hAnsi="Liberation Serif"/>
          <w:b/>
          <w:bCs/>
          <w:sz w:val="24"/>
          <w:szCs w:val="24"/>
        </w:rPr>
        <w:t xml:space="preserve"> квартал 2023 года</w:t>
      </w:r>
    </w:p>
    <w:p>
      <w:pPr>
        <w:pStyle w:val="Normal"/>
        <w:jc w:val="center"/>
        <w:rPr>
          <w:rFonts w:ascii="Liberation Serif" w:hAnsi="Liberation Serif" w:cs="Liberation Serif"/>
          <w:b/>
          <w:b/>
          <w:bCs/>
          <w:sz w:val="24"/>
          <w:szCs w:val="24"/>
        </w:rPr>
      </w:pPr>
      <w:r>
        <w:rPr>
          <w:rFonts w:cs="Liberation Serif" w:ascii="Liberation Serif" w:hAnsi="Liberation Serif"/>
          <w:b/>
          <w:bCs/>
          <w:sz w:val="24"/>
          <w:szCs w:val="24"/>
        </w:rPr>
      </w:r>
    </w:p>
    <w:tbl>
      <w:tblPr>
        <w:tblpPr w:vertAnchor="margin" w:horzAnchor="page" w:leftFromText="180" w:rightFromText="180" w:tblpX="2317" w:tblpY="-315"/>
        <w:tblW w:w="13215" w:type="dxa"/>
        <w:jc w:val="left"/>
        <w:tblInd w:w="108" w:type="dxa"/>
        <w:tblLayout w:type="fixed"/>
        <w:tblCellMar>
          <w:top w:w="0" w:type="dxa"/>
          <w:left w:w="108" w:type="dxa"/>
          <w:bottom w:w="0" w:type="dxa"/>
          <w:right w:w="108" w:type="dxa"/>
        </w:tblCellMar>
        <w:tblLook w:lastRow="0" w:firstRow="1" w:lastColumn="0" w:firstColumn="1" w:val="04a0" w:noHBand="0" w:noVBand="1"/>
      </w:tblPr>
      <w:tblGrid>
        <w:gridCol w:w="13215"/>
      </w:tblGrid>
      <w:tr>
        <w:trPr>
          <w:trHeight w:val="1196" w:hRule="atLeast"/>
        </w:trPr>
        <w:tc>
          <w:tcPr>
            <w:tcW w:w="13215" w:type="dxa"/>
            <w:tcBorders/>
            <w:shd w:color="auto" w:fill="auto" w:val="clear"/>
          </w:tcPr>
          <w:p>
            <w:pPr>
              <w:pStyle w:val="Normal"/>
              <w:widowControl w:val="false"/>
              <w:jc w:val="center"/>
              <w:rPr>
                <w:rFonts w:ascii="Liberation Serif" w:hAnsi="Liberation Serif"/>
                <w:b/>
                <w:b/>
              </w:rPr>
            </w:pPr>
            <w:r>
              <w:rPr>
                <w:rFonts w:ascii="Liberation Serif" w:hAnsi="Liberation Serif"/>
                <w:b/>
              </w:rPr>
            </w:r>
          </w:p>
          <w:p>
            <w:pPr>
              <w:pStyle w:val="ListParagraph"/>
              <w:widowControl w:val="false"/>
              <w:tabs>
                <w:tab w:val="clear" w:pos="709"/>
                <w:tab w:val="left" w:pos="993" w:leader="none"/>
              </w:tabs>
              <w:spacing w:lineRule="auto" w:line="240" w:before="0" w:after="0"/>
              <w:ind w:left="0" w:firstLine="709"/>
              <w:contextualSpacing/>
              <w:jc w:val="right"/>
              <w:rPr>
                <w:rFonts w:ascii="Liberation Serif" w:hAnsi="Liberation Serif"/>
                <w:sz w:val="20"/>
                <w:szCs w:val="20"/>
              </w:rPr>
            </w:pPr>
            <w:r>
              <w:rPr>
                <w:rFonts w:ascii="Liberation Serif" w:hAnsi="Liberation Serif"/>
                <w:sz w:val="20"/>
                <w:szCs w:val="20"/>
              </w:rPr>
              <w:t>Приложение № 3</w:t>
            </w:r>
          </w:p>
          <w:p>
            <w:pPr>
              <w:pStyle w:val="Normal"/>
              <w:widowControl w:val="false"/>
              <w:jc w:val="center"/>
              <w:rPr>
                <w:rFonts w:ascii="Liberation Serif" w:hAnsi="Liberation Serif"/>
                <w:b/>
                <w:b/>
              </w:rPr>
            </w:pPr>
            <w:r>
              <w:rPr>
                <w:rFonts w:ascii="Liberation Serif" w:hAnsi="Liberation Serif"/>
                <w:b/>
              </w:rPr>
            </w:r>
          </w:p>
          <w:p>
            <w:pPr>
              <w:pStyle w:val="Normal"/>
              <w:widowControl w:val="false"/>
              <w:jc w:val="center"/>
              <w:rPr>
                <w:rFonts w:ascii="Liberation Serif" w:hAnsi="Liberation Serif"/>
                <w:b/>
                <w:b/>
                <w:sz w:val="24"/>
                <w:szCs w:val="24"/>
              </w:rPr>
            </w:pPr>
            <w:r>
              <w:rPr>
                <w:rFonts w:ascii="Liberation Serif" w:hAnsi="Liberation Serif"/>
                <w:b/>
                <w:sz w:val="24"/>
                <w:szCs w:val="24"/>
              </w:rPr>
            </w:r>
          </w:p>
          <w:p>
            <w:pPr>
              <w:pStyle w:val="Normal"/>
              <w:widowControl w:val="false"/>
              <w:jc w:val="center"/>
              <w:rPr>
                <w:rFonts w:ascii="Liberation Serif" w:hAnsi="Liberation Serif"/>
                <w:b/>
                <w:b/>
                <w:sz w:val="24"/>
                <w:szCs w:val="24"/>
              </w:rPr>
            </w:pPr>
            <w:r>
              <w:rPr>
                <w:rFonts w:ascii="Liberation Serif" w:hAnsi="Liberation Serif"/>
                <w:b/>
                <w:sz w:val="24"/>
                <w:szCs w:val="24"/>
              </w:rPr>
              <w:t>Отчет</w:t>
            </w:r>
          </w:p>
          <w:p>
            <w:pPr>
              <w:pStyle w:val="Normal"/>
              <w:widowControl w:val="false"/>
              <w:jc w:val="center"/>
              <w:rPr>
                <w:rFonts w:ascii="Liberation Serif" w:hAnsi="Liberation Serif"/>
                <w:b/>
                <w:b/>
                <w:sz w:val="24"/>
                <w:szCs w:val="24"/>
              </w:rPr>
            </w:pPr>
            <w:r>
              <w:rPr>
                <w:rFonts w:ascii="Liberation Serif" w:hAnsi="Liberation Serif"/>
                <w:b/>
                <w:sz w:val="24"/>
                <w:szCs w:val="24"/>
              </w:rPr>
              <w:t xml:space="preserve">о реализации Плана мероприятий по снижению неформальной занятости за </w:t>
            </w:r>
            <w:r>
              <w:rPr>
                <w:rFonts w:ascii="Liberation Serif" w:hAnsi="Liberation Serif"/>
                <w:b/>
                <w:sz w:val="24"/>
                <w:szCs w:val="24"/>
                <w:lang w:val="en-US"/>
              </w:rPr>
              <w:t>I</w:t>
            </w:r>
            <w:r>
              <w:rPr>
                <w:rFonts w:ascii="Liberation Serif" w:hAnsi="Liberation Serif"/>
                <w:b/>
                <w:sz w:val="24"/>
                <w:szCs w:val="24"/>
              </w:rPr>
              <w:t xml:space="preserve"> квартал 2021 года</w:t>
            </w:r>
          </w:p>
          <w:p>
            <w:pPr>
              <w:pStyle w:val="Normal"/>
              <w:widowControl w:val="false"/>
              <w:jc w:val="center"/>
              <w:rPr>
                <w:rFonts w:ascii="Liberation Serif" w:hAnsi="Liberation Serif"/>
                <w:b/>
                <w:b/>
                <w:sz w:val="24"/>
                <w:szCs w:val="24"/>
              </w:rPr>
            </w:pPr>
            <w:r>
              <w:rPr>
                <w:rFonts w:ascii="Liberation Serif" w:hAnsi="Liberation Serif"/>
                <w:b/>
                <w:sz w:val="24"/>
                <w:szCs w:val="24"/>
              </w:rPr>
              <w:t>по Камышловскому городскому округу</w:t>
            </w:r>
          </w:p>
          <w:p>
            <w:pPr>
              <w:pStyle w:val="Normal"/>
              <w:widowControl w:val="false"/>
              <w:jc w:val="center"/>
              <w:rPr>
                <w:rFonts w:ascii="Liberation Serif" w:hAnsi="Liberation Serif"/>
              </w:rPr>
            </w:pPr>
            <w:r>
              <w:rPr>
                <w:rFonts w:ascii="Liberation Serif" w:hAnsi="Liberation Serif"/>
              </w:rPr>
            </w:r>
          </w:p>
        </w:tc>
      </w:tr>
    </w:tbl>
    <w:p>
      <w:pPr>
        <w:pStyle w:val="Normal"/>
        <w:rPr>
          <w:rFonts w:ascii="Liberation Serif" w:hAnsi="Liberation Serif"/>
          <w:vanish/>
        </w:rPr>
      </w:pPr>
      <w:r>
        <w:rPr>
          <w:rFonts w:ascii="Liberation Serif" w:hAnsi="Liberation Serif"/>
          <w:vanish/>
        </w:rPr>
      </w:r>
    </w:p>
    <w:tbl>
      <w:tblPr>
        <w:tblW w:w="15420" w:type="dxa"/>
        <w:jc w:val="left"/>
        <w:tblInd w:w="-210" w:type="dxa"/>
        <w:tblLayout w:type="fixed"/>
        <w:tblCellMar>
          <w:top w:w="0" w:type="dxa"/>
          <w:left w:w="108" w:type="dxa"/>
          <w:bottom w:w="0" w:type="dxa"/>
          <w:right w:w="108" w:type="dxa"/>
        </w:tblCellMar>
        <w:tblLook w:noVBand="1" w:val="04a0" w:noHBand="0" w:lastColumn="0" w:firstColumn="1" w:lastRow="0" w:firstRow="1"/>
      </w:tblPr>
      <w:tblGrid>
        <w:gridCol w:w="576"/>
        <w:gridCol w:w="3989"/>
        <w:gridCol w:w="1416"/>
        <w:gridCol w:w="3829"/>
        <w:gridCol w:w="1756"/>
        <w:gridCol w:w="3853"/>
      </w:tblGrid>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w:t>
            </w:r>
          </w:p>
          <w:p>
            <w:pPr>
              <w:pStyle w:val="Normal"/>
              <w:widowControl w:val="false"/>
              <w:rPr>
                <w:rFonts w:ascii="Liberation Serif" w:hAnsi="Liberation Serif"/>
                <w:b/>
                <w:b/>
                <w:sz w:val="22"/>
                <w:szCs w:val="22"/>
              </w:rPr>
            </w:pPr>
            <w:r>
              <w:rPr>
                <w:rFonts w:ascii="Liberation Serif" w:hAnsi="Liberation Serif"/>
                <w:b/>
                <w:sz w:val="22"/>
                <w:szCs w:val="22"/>
              </w:rPr>
              <w:t>п/п</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Наименование мероприятия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Срок</w:t>
            </w:r>
          </w:p>
          <w:p>
            <w:pPr>
              <w:pStyle w:val="Normal"/>
              <w:widowControl w:val="false"/>
              <w:jc w:val="center"/>
              <w:rPr>
                <w:rFonts w:ascii="Liberation Serif" w:hAnsi="Liberation Serif"/>
                <w:b/>
                <w:b/>
                <w:sz w:val="22"/>
                <w:szCs w:val="22"/>
              </w:rPr>
            </w:pPr>
            <w:r>
              <w:rPr>
                <w:rFonts w:ascii="Liberation Serif" w:hAnsi="Liberation Serif"/>
                <w:b/>
                <w:sz w:val="22"/>
                <w:szCs w:val="22"/>
              </w:rPr>
              <w:t>исполнения</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Ответственный</w:t>
            </w:r>
          </w:p>
          <w:p>
            <w:pPr>
              <w:pStyle w:val="Normal"/>
              <w:widowControl w:val="false"/>
              <w:jc w:val="center"/>
              <w:rPr>
                <w:rFonts w:ascii="Liberation Serif" w:hAnsi="Liberation Serif"/>
                <w:b/>
                <w:b/>
                <w:sz w:val="22"/>
                <w:szCs w:val="22"/>
              </w:rPr>
            </w:pPr>
            <w:r>
              <w:rPr>
                <w:rFonts w:ascii="Liberation Serif" w:hAnsi="Liberation Serif"/>
                <w:b/>
                <w:sz w:val="22"/>
                <w:szCs w:val="22"/>
              </w:rPr>
              <w:t>исполнитель</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Ожидаемый результат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
                <w:b/>
                <w:sz w:val="22"/>
                <w:szCs w:val="22"/>
              </w:rPr>
            </w:pPr>
            <w:r>
              <w:rPr>
                <w:rFonts w:ascii="Liberation Serif" w:hAnsi="Liberation Serif"/>
                <w:b/>
                <w:sz w:val="22"/>
                <w:szCs w:val="22"/>
              </w:rPr>
              <w:t>Информация о выполнении</w:t>
            </w:r>
          </w:p>
        </w:tc>
      </w:tr>
      <w:tr>
        <w:trPr>
          <w:trHeight w:val="395"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Организационные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Организация заседаний рабочей группы по снижению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hd w:val="clear" w:color="auto" w:fill="FFFFFF"/>
              <w:jc w:val="both"/>
              <w:rPr>
                <w:rFonts w:ascii="Liberation Serif" w:hAnsi="Liberation Serif"/>
                <w:sz w:val="22"/>
                <w:szCs w:val="22"/>
              </w:rPr>
            </w:pPr>
            <w:r>
              <w:rPr>
                <w:rFonts w:ascii="Liberation Serif" w:hAnsi="Liberation Serif"/>
                <w:sz w:val="22"/>
                <w:szCs w:val="22"/>
                <w:shd w:fill="FFFFFF" w:val="clear"/>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Liberation Serif" w:hAnsi="Liberation Serif"/>
                <w:sz w:val="22"/>
                <w:szCs w:val="22"/>
              </w:rPr>
              <w:t>Отдел экономики администрации КГО</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Координация работы членов рабочей группы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40"/>
              <w:jc w:val="both"/>
              <w:textAlignment w:val="baseline"/>
              <w:rPr>
                <w:rFonts w:ascii="Liberation Serif" w:hAnsi="Liberation Serif"/>
                <w:sz w:val="22"/>
                <w:szCs w:val="22"/>
                <w:highlight w:val="yellow"/>
              </w:rPr>
            </w:pPr>
            <w:r>
              <w:rPr>
                <w:rFonts w:ascii="Liberation Serif" w:hAnsi="Liberation Serif"/>
                <w:sz w:val="22"/>
                <w:szCs w:val="22"/>
              </w:rPr>
              <w:t xml:space="preserve">Проведено </w:t>
            </w:r>
            <w:r>
              <w:rPr>
                <w:rFonts w:eastAsia="Times New Roman" w:cs="Times New Roman" w:ascii="Liberation Serif" w:hAnsi="Liberation Serif"/>
                <w:b/>
                <w:color w:val="auto"/>
                <w:kern w:val="0"/>
                <w:sz w:val="22"/>
                <w:szCs w:val="22"/>
                <w:lang w:val="ru-RU" w:eastAsia="ru-RU" w:bidi="ar-SA"/>
              </w:rPr>
              <w:t>6</w:t>
            </w:r>
            <w:r>
              <w:rPr>
                <w:rFonts w:ascii="Liberation Serif" w:hAnsi="Liberation Serif"/>
                <w:sz w:val="22"/>
                <w:szCs w:val="22"/>
              </w:rPr>
              <w:t xml:space="preserve"> заседани</w:t>
            </w:r>
            <w:r>
              <w:rPr>
                <w:rFonts w:ascii="Liberation Serif" w:hAnsi="Liberation Serif"/>
                <w:sz w:val="22"/>
                <w:szCs w:val="22"/>
              </w:rPr>
              <w:t>й</w:t>
            </w:r>
            <w:r>
              <w:rPr>
                <w:rFonts w:ascii="Liberation Serif" w:hAnsi="Liberation Serif"/>
                <w:sz w:val="22"/>
                <w:szCs w:val="22"/>
              </w:rPr>
              <w:t xml:space="preserve"> рабочей группы.</w:t>
            </w:r>
          </w:p>
          <w:p>
            <w:pPr>
              <w:pStyle w:val="Normal"/>
              <w:widowControl w:val="fals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Неформальная занятость снизилась на </w:t>
            </w:r>
            <w:r>
              <w:rPr>
                <w:rFonts w:eastAsia="Times New Roman" w:cs="Times New Roman" w:ascii="Liberation Serif" w:hAnsi="Liberation Serif"/>
                <w:b/>
                <w:color w:val="auto"/>
                <w:kern w:val="0"/>
                <w:sz w:val="22"/>
                <w:szCs w:val="22"/>
                <w:lang w:val="ru-RU" w:eastAsia="ru-RU" w:bidi="ar-SA"/>
              </w:rPr>
              <w:t>7</w:t>
            </w:r>
            <w:r>
              <w:rPr>
                <w:rFonts w:eastAsia="Times New Roman" w:cs="Times New Roman" w:ascii="Liberation Serif" w:hAnsi="Liberation Serif"/>
                <w:b/>
                <w:color w:val="auto"/>
                <w:kern w:val="0"/>
                <w:sz w:val="22"/>
                <w:szCs w:val="22"/>
                <w:lang w:val="ru-RU" w:eastAsia="ru-RU" w:bidi="ar-SA"/>
              </w:rPr>
              <w:t>1</w:t>
            </w:r>
            <w:r>
              <w:rPr>
                <w:rFonts w:ascii="Liberation Serif" w:hAnsi="Liberation Serif"/>
                <w:b/>
                <w:sz w:val="22"/>
                <w:szCs w:val="22"/>
              </w:rPr>
              <w:t xml:space="preserve"> </w:t>
            </w:r>
            <w:r>
              <w:rPr>
                <w:rFonts w:ascii="Liberation Serif" w:hAnsi="Liberation Serif"/>
                <w:sz w:val="22"/>
                <w:szCs w:val="22"/>
              </w:rPr>
              <w:t>человек.</w:t>
            </w:r>
          </w:p>
          <w:p>
            <w:pPr>
              <w:pStyle w:val="Normal"/>
              <w:widowControl w:val="false"/>
              <w:suppressAutoHyphens w:val="tru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Для заслушивания и рассмотрения материалов по неформальной занятости представлены материалы по </w:t>
            </w:r>
            <w:r>
              <w:rPr>
                <w:rFonts w:eastAsia="Times New Roman" w:cs="Times New Roman" w:ascii="Liberation Serif" w:hAnsi="Liberation Serif"/>
                <w:b/>
                <w:color w:val="auto"/>
                <w:kern w:val="0"/>
                <w:sz w:val="22"/>
                <w:szCs w:val="22"/>
                <w:lang w:val="ru-RU" w:eastAsia="ru-RU" w:bidi="ar-SA"/>
              </w:rPr>
              <w:t>31</w:t>
            </w:r>
            <w:r>
              <w:rPr>
                <w:rFonts w:ascii="Liberation Serif" w:hAnsi="Liberation Serif"/>
                <w:b/>
                <w:sz w:val="22"/>
                <w:szCs w:val="22"/>
              </w:rPr>
              <w:t xml:space="preserve"> </w:t>
            </w:r>
            <w:r>
              <w:rPr>
                <w:rFonts w:ascii="Liberation Serif" w:hAnsi="Liberation Serif"/>
                <w:sz w:val="22"/>
                <w:szCs w:val="22"/>
              </w:rPr>
              <w:t>организаци</w:t>
            </w:r>
            <w:r>
              <w:rPr>
                <w:rFonts w:ascii="Liberation Serif" w:hAnsi="Liberation Serif"/>
                <w:sz w:val="22"/>
                <w:szCs w:val="22"/>
              </w:rPr>
              <w:t>и</w:t>
            </w:r>
            <w:r>
              <w:rPr>
                <w:rFonts w:ascii="Liberation Serif" w:hAnsi="Liberation Serif"/>
                <w:sz w:val="22"/>
                <w:szCs w:val="22"/>
              </w:rPr>
              <w:t xml:space="preserve"> города.</w:t>
            </w:r>
          </w:p>
          <w:p>
            <w:pPr>
              <w:pStyle w:val="Normal"/>
              <w:widowControl w:val="false"/>
              <w:suppressAutoHyphens w:val="tru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Заслушаны и проверены представители </w:t>
            </w:r>
            <w:r>
              <w:rPr>
                <w:rFonts w:eastAsia="Times New Roman" w:cs="Times New Roman" w:ascii="Liberation Serif" w:hAnsi="Liberation Serif"/>
                <w:b/>
                <w:color w:val="auto"/>
                <w:kern w:val="0"/>
                <w:sz w:val="22"/>
                <w:szCs w:val="22"/>
                <w:lang w:val="ru-RU" w:eastAsia="ru-RU" w:bidi="ar-SA"/>
              </w:rPr>
              <w:t xml:space="preserve">31 </w:t>
            </w:r>
            <w:r>
              <w:rPr>
                <w:rFonts w:ascii="Liberation Serif" w:hAnsi="Liberation Serif"/>
                <w:sz w:val="22"/>
                <w:szCs w:val="22"/>
              </w:rPr>
              <w:t>организаци</w:t>
            </w:r>
            <w:r>
              <w:rPr>
                <w:rFonts w:ascii="Liberation Serif" w:hAnsi="Liberation Serif"/>
                <w:sz w:val="22"/>
                <w:szCs w:val="22"/>
              </w:rPr>
              <w:t>и</w:t>
            </w:r>
            <w:r>
              <w:rPr>
                <w:rFonts w:ascii="Liberation Serif" w:hAnsi="Liberation Serif"/>
                <w:sz w:val="22"/>
                <w:szCs w:val="22"/>
              </w:rPr>
              <w:t>.</w:t>
            </w:r>
          </w:p>
          <w:p>
            <w:pPr>
              <w:pStyle w:val="Normal"/>
              <w:widowControl w:val="fals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jc w:val="both"/>
              <w:rPr>
                <w:rFonts w:ascii="Liberation Serif" w:hAnsi="Liberation Serif"/>
                <w:i/>
                <w:i/>
                <w:sz w:val="22"/>
                <w:szCs w:val="22"/>
              </w:rPr>
            </w:pPr>
            <w:r>
              <w:rPr>
                <w:rFonts w:ascii="Liberation Serif" w:hAnsi="Liberation Serif"/>
                <w:color w:val="000000"/>
                <w:sz w:val="22"/>
                <w:szCs w:val="22"/>
                <w:shd w:fill="FFFFFF" w:val="clear"/>
              </w:rPr>
              <w:t>Организация взаимодействия и обмена информацией с налоговыми органами, социальным фондом, центром занятости населения, надзорными, контрольными, правоохранительными органами, государственной инспекцией труда, в том числе в части принятия мер административного воздействия к руководителям организаций, нарушающих трудовое законодательство</w:t>
            </w:r>
          </w:p>
        </w:tc>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Фонд Пенсионного и Социального страхования РФ (далее - Социальный фонд России);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7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занятости</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 w:val="22"/>
                <w:szCs w:val="22"/>
              </w:rPr>
              <w:t>Ежегодно Межрайонная ИФНС №19 по Свердловской области предоставляет список работодателей, с численностью работников более 10 человек, выплачивающих заработную плату ниже размера минимальной заработной платы, для практической работы с данными лицами в целях увеличения поступлений обязательных платежей в консолидированный бюджет Свердловской области.</w:t>
            </w:r>
          </w:p>
          <w:p>
            <w:pPr>
              <w:pStyle w:val="Normal"/>
              <w:widowControl w:val="false"/>
              <w:suppressAutoHyphens w:val="true"/>
              <w:spacing w:before="0" w:after="0"/>
              <w:contextualSpacing/>
              <w:jc w:val="both"/>
              <w:rPr>
                <w:rFonts w:ascii="Liberation Serif" w:hAnsi="Liberation Serif"/>
                <w:sz w:val="22"/>
                <w:szCs w:val="22"/>
              </w:rPr>
            </w:pPr>
            <w:r>
              <w:rPr>
                <w:rFonts w:ascii="Liberation Serif" w:hAnsi="Liberation Serif"/>
                <w:sz w:val="22"/>
                <w:szCs w:val="22"/>
              </w:rPr>
              <w:t>На основании распоряжения Камышловской межрайонной Прокуратуры от 10.12.2021 №30 «О создании межведомственной рабочей группе по вопросам соблюдения трудовых прав граждан на территории Камышловского городского округа и Камышловского муниципального района» глава Камышловского городского округа Половников А.В. включен в состав рабочей группы.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Проведение проверок на предприятиях, на которых выявлены факты несоответствия данных по занятости работников, в том числе выездных проверок</w:t>
            </w:r>
          </w:p>
        </w:tc>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17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Работа по легализации трудовых отношений продолжается, сверка данных по трудоустроенным проводится во всех организациях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Во исполнение п.п. 5.1. п. 5 Протокола заседания Координационного совета по вопросам оплаты труда,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 занимающимися лесозаготовительной деятельностью и имеющими признаки неформальных трудовых отношений с работниками.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Социальный фонд России;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На территории Камышловского городского округа осуществляют деятельность 6 ИП, которые занимаются лесозаготовительной деятельностью. </w:t>
            </w:r>
            <w:r>
              <w:rPr>
                <w:rFonts w:ascii="Liberation Serif" w:hAnsi="Liberation Serif"/>
                <w:sz w:val="22"/>
                <w:szCs w:val="22"/>
                <w:shd w:fill="auto" w:val="clear"/>
              </w:rPr>
              <w:t>Проведена сверка всех ИП, фактов неформальной занятости нет</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Style w:val="Strong"/>
                <w:rFonts w:ascii="Liberation Serif" w:hAnsi="Liberation Serif"/>
                <w:color w:val="000000"/>
                <w:sz w:val="22"/>
                <w:szCs w:val="22"/>
              </w:rPr>
            </w:pPr>
            <w:r>
              <w:rPr>
                <w:rStyle w:val="Strong"/>
                <w:rFonts w:ascii="Liberation Serif" w:hAnsi="Liberation Serif"/>
                <w:color w:val="000000"/>
                <w:sz w:val="22"/>
                <w:szCs w:val="22"/>
              </w:rPr>
              <w:t>Информационно-разъяснительные мероприятия, направленные на стимулирование (повышение заинтересованности) юридических и физических лиц к легальному оформлению трудовых отношений («выходу из тени»)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необходимости</w:t>
            </w:r>
            <w:r>
              <w:rPr>
                <w:rFonts w:ascii="Liberation Serif" w:hAnsi="Liberation Serif"/>
                <w:color w:val="000000"/>
                <w:sz w:val="22"/>
                <w:szCs w:val="22"/>
                <w:shd w:fill="FFFFFF" w:val="clear"/>
              </w:rPr>
              <w:t xml:space="preserve"> </w:t>
            </w:r>
            <w:r>
              <w:rPr>
                <w:rFonts w:ascii="Liberation Serif" w:hAnsi="Liberation Serif"/>
                <w:color w:val="000000"/>
                <w:sz w:val="22"/>
                <w:szCs w:val="22"/>
              </w:rPr>
              <w:t>соблюдения требований</w:t>
            </w:r>
            <w:r>
              <w:rPr>
                <w:rFonts w:ascii="Liberation Serif" w:hAnsi="Liberation Serif"/>
                <w:color w:val="000000"/>
                <w:sz w:val="22"/>
                <w:szCs w:val="22"/>
                <w:shd w:fill="F5F5F5" w:val="clear"/>
              </w:rPr>
              <w:t xml:space="preserve"> </w:t>
            </w:r>
            <w:r>
              <w:rPr>
                <w:rFonts w:ascii="Liberation Serif" w:hAnsi="Liberation Serif"/>
                <w:color w:val="000000"/>
                <w:sz w:val="22"/>
                <w:szCs w:val="22"/>
              </w:rPr>
              <w:t>Трудового кодекса Российской Федерации в части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Осуществляется информирование работодателей о социальной ответственности в части легализации трудовых отношений посредством публикаций в газете «Камышловские известия», на сайте Камышловского городского округа и в социальных сетях, рабочих совещаний с руководителями организаций и распространения печатной продукции «Обманный путь»..</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соблюдении требований федерального и регионального законодательства в части представления в ГКУ «Камышловский центр занятости» информации о вакантных рабочих местах.</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В организации города направлено информационное письмо от ГКУ «ЦЗ Камышлов», о необходимости ежемесячного предоставления сведений о вакантных рабочих местах.</w:t>
            </w:r>
          </w:p>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На официальном сайте Камышловского ГО имеется ссылка на адрес портала в сети интернет общероссийской базы вакансий «Работа в России»,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 доведена до работодателей города посредством СМИ и интернета.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Формирование и ежедневное обновление банка вакантных рабочих мест и банка граждан, находящихся в поиске работы</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ежедневно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Содействие в трудоустройстве незанятым гражданам до обращения в органы службы занятости, снижение уровня регистрируемой безработицы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проводит ежедневное обновление банка вакантных рабочих мест и банка граждан, находящихся в поиске работы. С помощью данного сайта, можно отслеживать новые объявления, постоянно быть в курсе всех свежих и актуальных предложений по работе. Сайт предлагает быстрый и точный поиск, как персонала, так и работы – круглый год и круглые сутки.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Организация и проведение работы «электронной почты доверия» и телефона </w:t>
            </w:r>
            <w:r>
              <w:rPr>
                <w:rFonts w:ascii="Liberation Serif" w:hAnsi="Liberation Serif"/>
                <w:color w:val="000000"/>
                <w:sz w:val="22"/>
                <w:szCs w:val="22"/>
                <w:shd w:fill="FFFFFF" w:val="clear"/>
              </w:rPr>
              <w:t>«</w:t>
            </w:r>
            <w:r>
              <w:rPr>
                <w:rFonts w:ascii="Liberation Serif" w:hAnsi="Liberation Serif"/>
                <w:color w:val="000000"/>
                <w:sz w:val="22"/>
                <w:szCs w:val="22"/>
              </w:rPr>
              <w:t>горячей линии» по вопросам легализации трудовых отношений и выплаты заработной платы.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Социальный фонд России;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color w:val="000000"/>
                <w:sz w:val="22"/>
                <w:szCs w:val="22"/>
              </w:rPr>
              <w:t>; МИФНС №19 России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Организована работа «горячей линии» и «Почты доверия» по вопросам легализации трудовых отношений и выплаты заработной платы.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2.5.</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both"/>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w:t>
            </w:r>
            <w:r>
              <w:rPr>
                <w:rFonts w:ascii="Liberation Serif" w:hAnsi="Liberation Serif"/>
                <w:color w:val="000000"/>
                <w:sz w:val="22"/>
                <w:szCs w:val="22"/>
              </w:rPr>
              <w:t>;</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sz w:val="22"/>
                <w:szCs w:val="22"/>
              </w:rPr>
              <w:t>На постоянной основе проводится информационно –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«Камышловские известия»</w:t>
            </w:r>
            <w:r>
              <w:rPr>
                <w:rFonts w:ascii="Liberation Serif" w:hAnsi="Liberation Serif"/>
                <w:color w:val="000000"/>
                <w:sz w:val="22"/>
                <w:szCs w:val="22"/>
              </w:rPr>
              <w:t>.</w:t>
            </w:r>
          </w:p>
          <w:p>
            <w:pPr>
              <w:pStyle w:val="Normal"/>
              <w:widowControl w:val="false"/>
              <w:suppressAutoHyphens w:val="true"/>
              <w:jc w:val="both"/>
              <w:rPr/>
            </w:pPr>
            <w:r>
              <w:rPr>
                <w:rFonts w:ascii="Liberation Serif" w:hAnsi="Liberation Serif"/>
                <w:sz w:val="22"/>
                <w:szCs w:val="22"/>
              </w:rPr>
              <w:t>Администрация Камышловского ГО, ЦЗ и ИФНС информируют о последствии не оформления трудовых отношений на встречах с населением и трудовыми коллективами, на совещаниях с ИП и руководителями организаций.</w:t>
            </w:r>
          </w:p>
          <w:p>
            <w:pPr>
              <w:pStyle w:val="Normal"/>
              <w:widowControl w:val="false"/>
              <w:suppressAutoHyphens w:val="true"/>
              <w:jc w:val="both"/>
              <w:rPr>
                <w:rFonts w:ascii="Liberation Serif" w:hAnsi="Liberation Serif"/>
                <w:sz w:val="22"/>
                <w:szCs w:val="22"/>
              </w:rPr>
            </w:pPr>
            <w:r>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2.6.</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Размещение материалов по неформальной занятости на информационных стендах, с актуализацией материала на постоянной основе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 муниципальные учреждения Камышловского городского округа, информационные стенды на предприятиях</w:t>
            </w:r>
          </w:p>
          <w:p>
            <w:pPr>
              <w:pStyle w:val="Normal"/>
              <w:widowControl w:val="false"/>
              <w:jc w:val="both"/>
              <w:rPr>
                <w:rFonts w:ascii="Liberation Serif" w:hAnsi="Liberation Serif"/>
                <w:sz w:val="22"/>
                <w:szCs w:val="22"/>
              </w:rPr>
            </w:pPr>
            <w:r>
              <w:rPr/>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Материалы по неформальной занятости размещаются и постоянно актуализируются на официальном сайте КГО, на информационных стендах организаций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2.7.</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Подготовка информационных листов, брошюр, буклетов, плакатов и других форм наглядной агитации и их размещение в организациях города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Распространяются буклеты среди работодателей. Предоставляются всем работодателям при посещении службы занятости, на заседаниях рабочей группы, а также на выездных проверках рабочей группы.</w:t>
            </w:r>
          </w:p>
          <w:p>
            <w:pPr>
              <w:pStyle w:val="Normal"/>
              <w:widowControl w:val="false"/>
              <w:jc w:val="both"/>
              <w:rPr>
                <w:rFonts w:ascii="Liberation Serif" w:hAnsi="Liberation Serif"/>
                <w:sz w:val="22"/>
                <w:szCs w:val="22"/>
              </w:rPr>
            </w:pPr>
            <w:r>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2.8.</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информационной кампании, в том числе выступлений по КамТВ, в газете «Камышловские известия»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Публикуются статьи в СМИ,  в официальных группах в социальных сетях. На официальном сайте Камышловского городского округа имеется вкладка «Неформальная занятость», где размещается информация по неформальной занятости, рекомендации ГИТ, памятка по вопросам легализации трудовых отношений, информация актуализируется на постоянной основе.</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3.</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Организация мониторинга неформальной занятости</w:t>
            </w:r>
          </w:p>
        </w:tc>
      </w:tr>
      <w:tr>
        <w:trPr>
          <w:trHeight w:val="1156"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предприятий и организаций, на которых размер заработной платы ниже минимальной оплаты труда РФ.</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МИФНС №19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2"/>
                <w:szCs w:val="22"/>
              </w:rPr>
            </w:pPr>
            <w:r>
              <w:rPr>
                <w:rFonts w:ascii="Liberation Serif" w:hAnsi="Liberation Serif"/>
                <w:sz w:val="22"/>
                <w:szCs w:val="22"/>
              </w:rPr>
              <w:t xml:space="preserve">МИФНС №19 по СО ежегодно направляет в администрацию КГО список </w:t>
            </w:r>
            <w:r>
              <w:rPr>
                <w:rFonts w:eastAsia="Times New Roman" w:cs="Times New Roman" w:ascii="Liberation Serif" w:hAnsi="Liberation Serif"/>
                <w:color w:val="auto"/>
                <w:kern w:val="0"/>
                <w:sz w:val="22"/>
                <w:szCs w:val="22"/>
                <w:lang w:val="ru-RU" w:eastAsia="ru-RU" w:bidi="ar-SA"/>
              </w:rPr>
              <w:t>работодателей</w:t>
            </w:r>
            <w:r>
              <w:rPr>
                <w:rFonts w:ascii="Liberation Serif" w:hAnsi="Liberation Serif"/>
                <w:sz w:val="22"/>
                <w:szCs w:val="22"/>
              </w:rPr>
              <w:t>, выплачивающих зарплату ниже МРОТ, для  заслушивания руководителей организаций на заседании рабочей группы.</w:t>
            </w:r>
          </w:p>
          <w:p>
            <w:pPr>
              <w:pStyle w:val="Normal"/>
              <w:widowControl w:val="false"/>
              <w:suppressAutoHyphens w:val="true"/>
              <w:jc w:val="both"/>
              <w:rPr>
                <w:sz w:val="22"/>
                <w:szCs w:val="22"/>
              </w:rPr>
            </w:pPr>
            <w:r>
              <w:rPr>
                <w:rFonts w:ascii="Liberation Serif" w:hAnsi="Liberation Serif"/>
                <w:sz w:val="22"/>
                <w:szCs w:val="22"/>
              </w:rPr>
              <w:t>Проводится беседа с работодателями, у которых выявлены нарушения, о необходимости увеличения заработной платы не ниже МРОТ.</w:t>
            </w:r>
          </w:p>
        </w:tc>
      </w:tr>
      <w:tr>
        <w:trPr>
          <w:trHeight w:val="1833"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анонимного анкетирования застрахованных лиц по выплате неофициальной заработной платы и фактам работы без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МИФНС №19 по Свердловской области, Социальный фонд России.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В рамках работы «Почты доверия» проводится анонимное анкетирование по фактам выплат «серых» зарплат и приема на работу без оформления трудовых отношений. Заполненные анкеты можно опустить в ящики «Почты доверия», установленные в Социальном фонде России, Центре занятости,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об организациях (работодателях) и численности работников организаций (мужчины 1959, женщины 1964 года рождения), не являющихся пенсионерами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уровня необоснованного увольнения граждан предпенсионного возраста</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Проведено совещание членов рабочей группы, определены мероприятия, по содействию занятости граждан предпенсионного возраста.</w:t>
            </w:r>
          </w:p>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pPr>
              <w:pStyle w:val="Normal"/>
              <w:widowControl w:val="false"/>
              <w:jc w:val="both"/>
              <w:rPr>
                <w:rFonts w:ascii="Liberation Serif" w:hAnsi="Liberation Serif"/>
                <w:sz w:val="22"/>
                <w:szCs w:val="22"/>
              </w:rPr>
            </w:pPr>
            <w:r>
              <w:rPr>
                <w:rFonts w:ascii="Liberation Serif" w:hAnsi="Liberation Serif"/>
                <w:sz w:val="22"/>
                <w:szCs w:val="22"/>
              </w:rPr>
              <w:t>В случае увольнения граждан предпенсионного возраста приглашать на комиссию руководителей организаций для заслушивания.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 реализации мер по содействию занятости граждан предпенсионного возраста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фактов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pPr>
              <w:pStyle w:val="Normal"/>
              <w:widowControl w:val="false"/>
              <w:jc w:val="both"/>
              <w:rPr>
                <w:rFonts w:ascii="Liberation Serif" w:hAnsi="Liberation Serif"/>
                <w:sz w:val="22"/>
                <w:szCs w:val="22"/>
              </w:rPr>
            </w:pPr>
            <w:r>
              <w:rPr>
                <w:rFonts w:ascii="Liberation Serif" w:hAnsi="Liberation Serif"/>
                <w:sz w:val="22"/>
                <w:szCs w:val="22"/>
              </w:rPr>
              <w:t>По состоянию на 01.0</w:t>
            </w:r>
            <w:r>
              <w:rPr>
                <w:rFonts w:ascii="Liberation Serif" w:hAnsi="Liberation Serif"/>
                <w:sz w:val="22"/>
                <w:szCs w:val="22"/>
              </w:rPr>
              <w:t>5</w:t>
            </w:r>
            <w:r>
              <w:rPr>
                <w:rFonts w:ascii="Liberation Serif" w:hAnsi="Liberation Serif"/>
                <w:sz w:val="22"/>
                <w:szCs w:val="22"/>
              </w:rPr>
              <w:t xml:space="preserve">.2023 года численность безработных граждан предпенсионного возраста, обратившихся в органы службы занятости в целях поиска подходящей работы, составляет </w:t>
            </w:r>
            <w:r>
              <w:rPr>
                <w:rFonts w:ascii="Liberation Serif" w:hAnsi="Liberation Serif"/>
                <w:sz w:val="22"/>
                <w:szCs w:val="22"/>
              </w:rPr>
              <w:t>19</w:t>
            </w:r>
            <w:r>
              <w:rPr>
                <w:rFonts w:ascii="Liberation Serif" w:hAnsi="Liberation Serif"/>
                <w:sz w:val="22"/>
                <w:szCs w:val="22"/>
              </w:rPr>
              <w:t>, из них трудоустроен</w:t>
            </w:r>
            <w:r>
              <w:rPr>
                <w:rFonts w:ascii="Liberation Serif" w:hAnsi="Liberation Serif"/>
                <w:sz w:val="22"/>
                <w:szCs w:val="22"/>
              </w:rPr>
              <w:t>о</w:t>
            </w:r>
            <w:r>
              <w:rPr>
                <w:rFonts w:ascii="Liberation Serif" w:hAnsi="Liberation Serif"/>
                <w:sz w:val="22"/>
                <w:szCs w:val="22"/>
              </w:rPr>
              <w:t xml:space="preserve"> </w:t>
            </w:r>
            <w:r>
              <w:rPr>
                <w:rFonts w:ascii="Liberation Serif" w:hAnsi="Liberation Serif"/>
                <w:sz w:val="22"/>
                <w:szCs w:val="22"/>
              </w:rPr>
              <w:t>2</w:t>
            </w:r>
            <w:r>
              <w:rPr>
                <w:rFonts w:ascii="Liberation Serif" w:hAnsi="Liberation Serif"/>
                <w:sz w:val="22"/>
                <w:szCs w:val="22"/>
              </w:rPr>
              <w:t xml:space="preserve"> гражданин.</w:t>
            </w:r>
          </w:p>
          <w:p>
            <w:pPr>
              <w:pStyle w:val="Normal"/>
              <w:widowControl w:val="false"/>
              <w:jc w:val="both"/>
              <w:rPr>
                <w:rFonts w:ascii="Liberation Serif" w:hAnsi="Liberation Serif"/>
                <w:sz w:val="22"/>
                <w:szCs w:val="22"/>
              </w:rPr>
            </w:pPr>
            <w:r>
              <w:rPr>
                <w:rFonts w:ascii="Liberation Serif" w:hAnsi="Liberation Serif"/>
                <w:sz w:val="22"/>
                <w:szCs w:val="22"/>
              </w:rPr>
              <w:t>В рамках реализации мер, направленных на сохранение и развитие занятости граждан предпенсионного возраста, ГКУ «Камышловский ЦЗ» информирует население по профессиональному обучению и дополнительному профессиональному образованию граждан предпенсионного возраста.</w:t>
            </w:r>
          </w:p>
          <w:p>
            <w:pPr>
              <w:pStyle w:val="Normal"/>
              <w:widowControl w:val="false"/>
              <w:jc w:val="both"/>
              <w:rPr>
                <w:rFonts w:ascii="Liberation Serif" w:hAnsi="Liberation Serif"/>
                <w:sz w:val="22"/>
                <w:szCs w:val="22"/>
              </w:rPr>
            </w:pPr>
            <w:r>
              <w:rPr>
                <w:rFonts w:ascii="Liberation Serif" w:hAnsi="Liberation Serif"/>
                <w:sz w:val="22"/>
                <w:szCs w:val="22"/>
              </w:rPr>
              <w:t>По состоянию на 01.0</w:t>
            </w:r>
            <w:r>
              <w:rPr>
                <w:rFonts w:ascii="Liberation Serif" w:hAnsi="Liberation Serif"/>
                <w:sz w:val="22"/>
                <w:szCs w:val="22"/>
              </w:rPr>
              <w:t>5</w:t>
            </w:r>
            <w:r>
              <w:rPr>
                <w:rFonts w:ascii="Liberation Serif" w:hAnsi="Liberation Serif"/>
                <w:sz w:val="22"/>
                <w:szCs w:val="22"/>
              </w:rPr>
              <w:t xml:space="preserve">.2023 численность граждан предпенсионного возраста, получивших государственную услугу по проф. ориентации граждан составляет </w:t>
            </w:r>
            <w:r>
              <w:rPr>
                <w:rFonts w:ascii="Liberation Serif" w:hAnsi="Liberation Serif"/>
                <w:sz w:val="22"/>
                <w:szCs w:val="22"/>
              </w:rPr>
              <w:t>21</w:t>
            </w:r>
            <w:r>
              <w:rPr>
                <w:rFonts w:ascii="Liberation Serif" w:hAnsi="Liberation Serif"/>
                <w:sz w:val="22"/>
                <w:szCs w:val="22"/>
              </w:rPr>
              <w:t xml:space="preserve"> человек.</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4.</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Создание условий для ведения бизнеса, при которых исключена или затруднена возможность</w:t>
            </w:r>
          </w:p>
          <w:p>
            <w:pPr>
              <w:pStyle w:val="Normal"/>
              <w:widowControl w:val="false"/>
              <w:jc w:val="center"/>
              <w:rPr>
                <w:rFonts w:ascii="Liberation Serif" w:hAnsi="Liberation Serif"/>
                <w:b/>
                <w:b/>
                <w:sz w:val="22"/>
                <w:szCs w:val="22"/>
              </w:rPr>
            </w:pPr>
            <w:r>
              <w:rPr>
                <w:rFonts w:ascii="Liberation Serif" w:hAnsi="Liberation Serif"/>
                <w:b/>
                <w:sz w:val="22"/>
                <w:szCs w:val="22"/>
              </w:rPr>
              <w:t>осуществления нелегальной деятельности</w:t>
            </w:r>
          </w:p>
        </w:tc>
      </w:tr>
      <w:tr>
        <w:trPr>
          <w:trHeight w:val="41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Инициирование процедуры банкротства для предприятий - «должников» по выплатам во внебюджетные фонды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 мере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МИФНС №19 по Свердловской области;  Социальный фонд России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Акты исполнительных органов</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Данное мероприятие будет осуществляться согласно предоставленных актов из Социального фонда России,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Обеспечение трудоустройства экономически активных лиц, находящихся в трудоспособном возрасте, не осуществляющих трудовую деятельность, согласно установленных целевых показателей по соглашению с Правительством СО о взаимодействии в реализации мероприятий, направленных на снижение неформальной занятости на территории Камышловского городского округа.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ежегодно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Снижение количества экономически активных лиц, находящихся в трудоспособном возрасте, не осуществляющих трудовую деятельность</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В настоящее время Правительством Свердловской области рекомендуемое значение показателя, предусматривающее участие органов местного самоуправления в реализации мероприятий, направленных на снижение неформальной занятости в Свердловской области, не установлено.</w:t>
            </w:r>
            <w:bookmarkStart w:id="0" w:name="_GoBack"/>
            <w:bookmarkEnd w:id="0"/>
          </w:p>
          <w:p>
            <w:pPr>
              <w:pStyle w:val="Normal"/>
              <w:widowControl w:val="false"/>
              <w:jc w:val="both"/>
              <w:rPr>
                <w:rFonts w:ascii="Liberation Serif" w:hAnsi="Liberation Serif"/>
                <w:sz w:val="22"/>
                <w:szCs w:val="22"/>
              </w:rPr>
            </w:pPr>
            <w:r>
              <w:rPr>
                <w:rFonts w:ascii="Liberation Serif" w:hAnsi="Liberation Serif"/>
                <w:sz w:val="22"/>
                <w:szCs w:val="22"/>
              </w:rPr>
              <w:t xml:space="preserve">Факт по состоянию на отчетную дату составляет </w:t>
            </w:r>
            <w:r>
              <w:rPr>
                <w:rFonts w:ascii="Liberation Serif" w:hAnsi="Liberation Serif"/>
                <w:sz w:val="22"/>
                <w:szCs w:val="22"/>
              </w:rPr>
              <w:t>71</w:t>
            </w:r>
            <w:r>
              <w:rPr>
                <w:rFonts w:ascii="Liberation Serif" w:hAnsi="Liberation Serif"/>
                <w:sz w:val="22"/>
                <w:szCs w:val="22"/>
              </w:rPr>
              <w:t xml:space="preserve"> человек.</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5.</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Контрольные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uppressAutoHyphens w:val="true"/>
              <w:jc w:val="both"/>
              <w:rPr/>
            </w:pPr>
            <w:r>
              <w:rPr>
                <w:rFonts w:ascii="Liberation Serif" w:hAnsi="Liberation Serif"/>
                <w:sz w:val="22"/>
                <w:szCs w:val="22"/>
                <w:shd w:fill="FFFFFF" w:val="clear"/>
              </w:rPr>
              <w:t>Подготовка и предоставление</w:t>
            </w:r>
            <w:r>
              <w:rPr>
                <w:rFonts w:ascii="Liberation Serif" w:hAnsi="Liberation Serif"/>
                <w:sz w:val="22"/>
                <w:szCs w:val="22"/>
                <w:shd w:fill="F5F5F5" w:val="clear"/>
              </w:rPr>
              <w:t xml:space="preserve"> </w:t>
            </w:r>
            <w:r>
              <w:rPr>
                <w:rFonts w:ascii="Liberation Serif" w:hAnsi="Liberation Serif"/>
                <w:sz w:val="22"/>
                <w:szCs w:val="22"/>
              </w:rPr>
              <w:t>отчетов</w:t>
            </w:r>
            <w:r>
              <w:rPr>
                <w:rFonts w:ascii="Liberation Serif" w:hAnsi="Liberation Serif"/>
                <w:sz w:val="22"/>
                <w:szCs w:val="22"/>
                <w:shd w:fill="F5F5F5" w:val="clear"/>
              </w:rPr>
              <w:t>:</w:t>
            </w:r>
          </w:p>
          <w:p>
            <w:pPr>
              <w:pStyle w:val="Normal"/>
              <w:widowControl w:val="false"/>
              <w:numPr>
                <w:ilvl w:val="0"/>
                <w:numId w:val="1"/>
              </w:numPr>
              <w:tabs>
                <w:tab w:val="clear" w:pos="709"/>
                <w:tab w:val="left" w:pos="993" w:leader="none"/>
              </w:tabs>
              <w:suppressAutoHyphens w:val="true"/>
              <w:ind w:left="0" w:firstLine="709"/>
              <w:jc w:val="both"/>
              <w:rPr/>
            </w:pPr>
            <w:r>
              <w:rPr>
                <w:rFonts w:ascii="Liberation Serif" w:hAnsi="Liberation Serif"/>
                <w:sz w:val="22"/>
                <w:szCs w:val="22"/>
              </w:rPr>
              <w:t>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реализации Плана мероприятий по снижению неформальной занятости;</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работе Рабочих групп и</w:t>
            </w:r>
            <w:r>
              <w:rPr>
                <w:rFonts w:ascii="Liberation Serif" w:hAnsi="Liberation Serif"/>
                <w:lang w:eastAsia="ru-RU"/>
              </w:rPr>
              <w:t xml:space="preserve"> принятых мерах по итогам заслушивания организаций;</w:t>
            </w:r>
          </w:p>
          <w:p>
            <w:pPr>
              <w:pStyle w:val="ListParagraph"/>
              <w:widowControl w:val="false"/>
              <w:numPr>
                <w:ilvl w:val="0"/>
                <w:numId w:val="1"/>
              </w:numPr>
              <w:tabs>
                <w:tab w:val="clear" w:pos="709"/>
                <w:tab w:val="left" w:pos="993" w:leader="none"/>
              </w:tabs>
              <w:suppressAutoHyphens w:val="true"/>
              <w:spacing w:lineRule="auto" w:line="240" w:before="0" w:after="0"/>
              <w:ind w:left="26" w:firstLine="709"/>
              <w:contextualSpacing/>
              <w:jc w:val="both"/>
              <w:rPr/>
            </w:pPr>
            <w:r>
              <w:rPr>
                <w:rFonts w:ascii="Liberation Serif" w:hAnsi="Liberation Serif"/>
              </w:rPr>
              <w:t>информация о работе по вопросам неформальной занятости в сфере торговли, общественного питания и бытовых услуг;</w:t>
            </w:r>
          </w:p>
          <w:p>
            <w:pPr>
              <w:pStyle w:val="ListParagraph"/>
              <w:widowControl w:val="false"/>
              <w:numPr>
                <w:ilvl w:val="0"/>
                <w:numId w:val="0"/>
              </w:numPr>
              <w:tabs>
                <w:tab w:val="clear" w:pos="709"/>
                <w:tab w:val="left" w:pos="993" w:leader="none"/>
              </w:tabs>
              <w:suppressAutoHyphens w:val="true"/>
              <w:spacing w:lineRule="auto" w:line="240" w:before="0" w:after="0"/>
              <w:ind w:left="2836" w:hanging="0"/>
              <w:contextualSpacing/>
              <w:jc w:val="both"/>
              <w:rPr>
                <w:rFonts w:ascii="Liberation Serif" w:hAnsi="Liberation Serif"/>
              </w:rPr>
            </w:pPr>
            <w:r>
              <w:rPr>
                <w:rFonts w:ascii="Liberation Serif" w:hAnsi="Liberation Serif"/>
              </w:rPr>
            </w:r>
          </w:p>
        </w:tc>
        <w:tc>
          <w:tcPr>
            <w:tcW w:w="1416" w:type="dxa"/>
            <w:tcBorders>
              <w:top w:val="single" w:sz="4" w:space="0" w:color="000000"/>
              <w:left w:val="single" w:sz="4" w:space="0" w:color="000000"/>
              <w:bottom w:val="single" w:sz="4" w:space="0" w:color="000000"/>
              <w:right w:val="single" w:sz="4" w:space="0" w:color="000000"/>
            </w:tcBorders>
            <w:shd w:color="auto" w:fill="FFFFFF" w:val="clear"/>
            <w:tcMar>
              <w:top w:w="55" w:type="dxa"/>
              <w:bottom w:w="55" w:type="dxa"/>
            </w:tcMar>
          </w:tcPr>
          <w:p>
            <w:pPr>
              <w:pStyle w:val="Normal"/>
              <w:widowControl w:val="false"/>
              <w:suppressAutoHyphens w:val="true"/>
              <w:rPr>
                <w:rFonts w:ascii="Liberation Serif" w:hAnsi="Liberation Serif"/>
                <w:sz w:val="22"/>
                <w:szCs w:val="22"/>
              </w:rPr>
            </w:pPr>
            <w:r>
              <w:rPr>
                <w:rFonts w:ascii="Liberation Serif" w:hAnsi="Liberation Serif"/>
                <w:sz w:val="22"/>
                <w:szCs w:val="22"/>
                <w:shd w:fill="FFFFFF" w:val="clear"/>
              </w:rPr>
              <w:t>В сроки,</w:t>
            </w:r>
            <w:r>
              <w:rPr>
                <w:rFonts w:ascii="Liberation Serif" w:hAnsi="Liberation Serif"/>
                <w:sz w:val="22"/>
                <w:szCs w:val="22"/>
                <w:shd w:fill="F5F5F5" w:val="clear"/>
              </w:rPr>
              <w:t xml:space="preserve"> </w:t>
            </w:r>
            <w:r>
              <w:rPr>
                <w:rFonts w:ascii="Liberation Serif" w:hAnsi="Liberation Serif"/>
                <w:sz w:val="22"/>
                <w:szCs w:val="22"/>
                <w:shd w:fill="FFFFFF" w:val="clear"/>
              </w:rPr>
              <w:t>установленные Министерством экономики</w:t>
            </w:r>
            <w:r>
              <w:rPr>
                <w:rFonts w:ascii="Liberation Serif" w:hAnsi="Liberation Serif"/>
                <w:sz w:val="22"/>
                <w:szCs w:val="22"/>
                <w:shd w:fill="F5F5F5" w:val="clear"/>
              </w:rPr>
              <w:t xml:space="preserve"> </w:t>
            </w:r>
            <w:r>
              <w:rPr>
                <w:rFonts w:ascii="Liberation Serif" w:hAnsi="Liberation Serif"/>
                <w:sz w:val="22"/>
                <w:szCs w:val="22"/>
                <w:shd w:fill="FFFFFF" w:val="clear"/>
              </w:rPr>
              <w:t>Свердловской области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uppressAutoHyphens w:val="true"/>
              <w:spacing w:lineRule="atLeast" w:line="270" w:before="0" w:after="280"/>
              <w:jc w:val="both"/>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sz w:val="22"/>
                <w:szCs w:val="22"/>
              </w:rPr>
              <w:t>Направление отчетности в установленные сроки.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Проведение совместных проверок с органами государственного контроля (надзора) в пределах установленных полномочий по вопросам нарушения трудовых прав работников:</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выплаты заработной платы ниже минимального размера оплаты труда;</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-неформальной занятости;</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заработной плате в «конверте».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По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Социальный фонд России,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 xml:space="preserve">центр занятости», </w:t>
            </w:r>
            <w:r>
              <w:rPr>
                <w:rFonts w:ascii="Liberation Serif" w:hAnsi="Liberation Serif"/>
                <w:sz w:val="22"/>
                <w:szCs w:val="22"/>
              </w:rPr>
              <w:t>МИФНС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p>
        </w:tc>
        <w:tc>
          <w:tcPr>
            <w:tcW w:w="175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rPr/>
            </w:pPr>
            <w:r>
              <w:rPr>
                <w:rFonts w:ascii="Liberation Serif" w:hAnsi="Liberation Serif"/>
                <w:color w:val="000000"/>
                <w:sz w:val="22"/>
                <w:szCs w:val="22"/>
                <w:shd w:fill="FFFFFF" w:val="clear"/>
              </w:rPr>
              <w:t>Усиление ответственности работодателей</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color w:val="000000"/>
                <w:sz w:val="22"/>
                <w:szCs w:val="22"/>
                <w:shd w:fill="FFFFFF" w:val="clear"/>
              </w:rPr>
              <w:t>Организована работа рабочей группы, а также согласно поступающей информации, проводятся выездные проверки</w:t>
            </w:r>
          </w:p>
        </w:tc>
      </w:tr>
    </w:tbl>
    <w:p>
      <w:pPr>
        <w:pStyle w:val="Normal"/>
        <w:ind w:firstLine="660"/>
        <w:jc w:val="both"/>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
    </w:p>
    <w:sectPr>
      <w:headerReference w:type="default" r:id="rId2"/>
      <w:type w:val="nextPage"/>
      <w:pgSz w:orient="landscape" w:w="16838" w:h="11906"/>
      <w:pgMar w:left="1134" w:right="709" w:gutter="0" w:header="709" w:top="1418"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Liberation Serif">
    <w:altName w:val="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287991295"/>
    </w:sdtPr>
    <w:sdtContent>
      <w:p>
        <w:pPr>
          <w:pStyle w:val="Style26"/>
          <w:jc w:val="center"/>
          <w:rPr/>
        </w:pPr>
        <w:r>
          <w:rPr/>
          <w:fldChar w:fldCharType="begin"/>
        </w:r>
        <w:r>
          <w:rPr/>
          <w:instrText xml:space="preserve"> PAGE </w:instrText>
        </w:r>
        <w:r>
          <w:rPr/>
          <w:fldChar w:fldCharType="separate"/>
        </w:r>
        <w:r>
          <w:rPr/>
          <w:t>7</w:t>
        </w:r>
        <w:r>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2836" w:firstLine="709"/>
      </w:pPr>
      <w:rPr>
        <w:rFonts w:ascii="Times New Roman" w:hAnsi="Times New Roman" w:cs="Times New Roman" w:hint="default"/>
      </w:rPr>
    </w:lvl>
    <w:lvl w:ilvl="1">
      <w:start w:val="1"/>
      <w:numFmt w:val="bullet"/>
      <w:lvlText w:val="o"/>
      <w:lvlJc w:val="left"/>
      <w:pPr>
        <w:tabs>
          <w:tab w:val="num" w:pos="0"/>
        </w:tabs>
        <w:ind w:left="4985" w:hanging="360"/>
      </w:pPr>
      <w:rPr>
        <w:rFonts w:ascii="Courier New" w:hAnsi="Courier New" w:cs="Courier New" w:hint="default"/>
      </w:rPr>
    </w:lvl>
    <w:lvl w:ilvl="2">
      <w:start w:val="1"/>
      <w:numFmt w:val="bullet"/>
      <w:lvlText w:val=""/>
      <w:lvlJc w:val="left"/>
      <w:pPr>
        <w:tabs>
          <w:tab w:val="num" w:pos="0"/>
        </w:tabs>
        <w:ind w:left="5705" w:hanging="360"/>
      </w:pPr>
      <w:rPr>
        <w:rFonts w:ascii="Wingdings" w:hAnsi="Wingdings" w:cs="Wingdings" w:hint="default"/>
      </w:rPr>
    </w:lvl>
    <w:lvl w:ilvl="3">
      <w:start w:val="1"/>
      <w:numFmt w:val="bullet"/>
      <w:lvlText w:val=""/>
      <w:lvlJc w:val="left"/>
      <w:pPr>
        <w:tabs>
          <w:tab w:val="num" w:pos="0"/>
        </w:tabs>
        <w:ind w:left="6425" w:hanging="360"/>
      </w:pPr>
      <w:rPr>
        <w:rFonts w:ascii="Symbol" w:hAnsi="Symbol" w:cs="Symbol" w:hint="default"/>
      </w:rPr>
    </w:lvl>
    <w:lvl w:ilvl="4">
      <w:start w:val="1"/>
      <w:numFmt w:val="bullet"/>
      <w:lvlText w:val="o"/>
      <w:lvlJc w:val="left"/>
      <w:pPr>
        <w:tabs>
          <w:tab w:val="num" w:pos="0"/>
        </w:tabs>
        <w:ind w:left="7145" w:hanging="360"/>
      </w:pPr>
      <w:rPr>
        <w:rFonts w:ascii="Courier New" w:hAnsi="Courier New" w:cs="Courier New" w:hint="default"/>
      </w:rPr>
    </w:lvl>
    <w:lvl w:ilvl="5">
      <w:start w:val="1"/>
      <w:numFmt w:val="bullet"/>
      <w:lvlText w:val=""/>
      <w:lvlJc w:val="left"/>
      <w:pPr>
        <w:tabs>
          <w:tab w:val="num" w:pos="0"/>
        </w:tabs>
        <w:ind w:left="7865" w:hanging="360"/>
      </w:pPr>
      <w:rPr>
        <w:rFonts w:ascii="Wingdings" w:hAnsi="Wingdings" w:cs="Wingdings" w:hint="default"/>
      </w:rPr>
    </w:lvl>
    <w:lvl w:ilvl="6">
      <w:start w:val="1"/>
      <w:numFmt w:val="bullet"/>
      <w:lvlText w:val=""/>
      <w:lvlJc w:val="left"/>
      <w:pPr>
        <w:tabs>
          <w:tab w:val="num" w:pos="0"/>
        </w:tabs>
        <w:ind w:left="8585" w:hanging="360"/>
      </w:pPr>
      <w:rPr>
        <w:rFonts w:ascii="Symbol" w:hAnsi="Symbol" w:cs="Symbol" w:hint="default"/>
      </w:rPr>
    </w:lvl>
    <w:lvl w:ilvl="7">
      <w:start w:val="1"/>
      <w:numFmt w:val="bullet"/>
      <w:lvlText w:val="o"/>
      <w:lvlJc w:val="left"/>
      <w:pPr>
        <w:tabs>
          <w:tab w:val="num" w:pos="0"/>
        </w:tabs>
        <w:ind w:left="9305" w:hanging="360"/>
      </w:pPr>
      <w:rPr>
        <w:rFonts w:ascii="Courier New" w:hAnsi="Courier New" w:cs="Courier New" w:hint="default"/>
      </w:rPr>
    </w:lvl>
    <w:lvl w:ilvl="8">
      <w:start w:val="1"/>
      <w:numFmt w:val="bullet"/>
      <w:lvlText w:val=""/>
      <w:lvlJc w:val="left"/>
      <w:pPr>
        <w:tabs>
          <w:tab w:val="num" w:pos="0"/>
        </w:tabs>
        <w:ind w:left="100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da1"/>
    <w:pPr>
      <w:widowControl w:val="false"/>
      <w:suppressAutoHyphens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d45da1"/>
    <w:rPr>
      <w:b/>
      <w:bCs/>
    </w:rPr>
  </w:style>
  <w:style w:type="character" w:styleId="Style14" w:customStyle="1">
    <w:name w:val="Верх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uiPriority w:val="99"/>
    <w:semiHidden/>
    <w:qFormat/>
    <w:rsid w:val="00817eb9"/>
    <w:rPr>
      <w:rFonts w:ascii="Segoe UI" w:hAnsi="Segoe UI" w:eastAsia="Times New Roman" w:cs="Segoe UI"/>
      <w:sz w:val="18"/>
      <w:szCs w:val="18"/>
      <w:lang w:eastAsia="ru-RU"/>
    </w:rPr>
  </w:style>
  <w:style w:type="character" w:styleId="Style17" w:customStyle="1">
    <w:name w:val="Текст концевой сноски Знак"/>
    <w:basedOn w:val="DefaultParagraphFont"/>
    <w:uiPriority w:val="99"/>
    <w:semiHidden/>
    <w:qFormat/>
    <w:rsid w:val="00981a6c"/>
    <w:rPr>
      <w:rFonts w:ascii="Times New Roman" w:hAnsi="Times New Roman" w:eastAsia="Times New Roman" w:cs="Times New Roman"/>
      <w:sz w:val="20"/>
      <w:szCs w:val="20"/>
      <w:lang w:eastAsia="ru-RU"/>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81a6c"/>
    <w:rPr>
      <w:vertAlign w:val="superscrip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d45da1"/>
    <w:pPr>
      <w:widowControl/>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unhideWhenUsed/>
    <w:qFormat/>
    <w:rsid w:val="00d45da1"/>
    <w:pPr>
      <w:widowControl/>
      <w:spacing w:beforeAutospacing="1" w:afterAutospacing="1"/>
    </w:pPr>
    <w:rPr>
      <w:sz w:val="24"/>
      <w:szCs w:val="24"/>
    </w:rPr>
  </w:style>
  <w:style w:type="paragraph" w:styleId="Style24">
    <w:name w:val="Верхний и нижний колонтитулы"/>
    <w:basedOn w:val="Normal"/>
    <w:qFormat/>
    <w:pPr/>
    <w:rPr/>
  </w:style>
  <w:style w:type="paragraph" w:styleId="Style25">
    <w:name w:val="Колонтитул"/>
    <w:basedOn w:val="Normal"/>
    <w:qFormat/>
    <w:pPr/>
    <w:rPr/>
  </w:style>
  <w:style w:type="paragraph" w:styleId="Style26">
    <w:name w:val="Header"/>
    <w:basedOn w:val="Normal"/>
    <w:uiPriority w:val="99"/>
    <w:unhideWhenUsed/>
    <w:rsid w:val="00915513"/>
    <w:pPr>
      <w:tabs>
        <w:tab w:val="clear" w:pos="709"/>
        <w:tab w:val="center" w:pos="4677" w:leader="none"/>
        <w:tab w:val="right" w:pos="9355" w:leader="none"/>
      </w:tabs>
    </w:pPr>
    <w:rPr/>
  </w:style>
  <w:style w:type="paragraph" w:styleId="Style27">
    <w:name w:val="Footer"/>
    <w:basedOn w:val="Normal"/>
    <w:uiPriority w:val="99"/>
    <w:unhideWhenUsed/>
    <w:rsid w:val="00915513"/>
    <w:pPr>
      <w:tabs>
        <w:tab w:val="clear" w:pos="709"/>
        <w:tab w:val="center" w:pos="4677" w:leader="none"/>
        <w:tab w:val="right" w:pos="9355" w:leader="none"/>
      </w:tabs>
    </w:pPr>
    <w:rPr/>
  </w:style>
  <w:style w:type="paragraph" w:styleId="BalloonText">
    <w:name w:val="Balloon Text"/>
    <w:basedOn w:val="Normal"/>
    <w:uiPriority w:val="99"/>
    <w:semiHidden/>
    <w:unhideWhenUsed/>
    <w:qFormat/>
    <w:rsid w:val="00817eb9"/>
    <w:pPr/>
    <w:rPr>
      <w:rFonts w:ascii="Segoe UI" w:hAnsi="Segoe UI" w:cs="Segoe UI"/>
      <w:sz w:val="18"/>
      <w:szCs w:val="18"/>
    </w:rPr>
  </w:style>
  <w:style w:type="paragraph" w:styleId="Style28">
    <w:name w:val="Endnote Text"/>
    <w:basedOn w:val="Normal"/>
    <w:uiPriority w:val="99"/>
    <w:semiHidden/>
    <w:unhideWhenUsed/>
    <w:rsid w:val="00981a6c"/>
    <w:pPr/>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7E9D-7824-492F-82C9-43D586F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Application>LibreOffice/7.3.6.2$Linux_X86_64 LibreOffice_project/30$Build-2</Application>
  <AppVersion>15.0000</AppVersion>
  <Pages>7</Pages>
  <Words>1769</Words>
  <Characters>13450</Characters>
  <CharactersWithSpaces>15055</CharactersWithSpaces>
  <Paragraphs>167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
  <dc:language>ru-RU</dc:language>
  <cp:lastModifiedBy/>
  <cp:lastPrinted>2023-06-22T16:41:31Z</cp:lastPrinted>
  <dcterms:modified xsi:type="dcterms:W3CDTF">2023-06-22T16:41:33Z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