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15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98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Камышловского городского округа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______.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10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.2022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>______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 xml:space="preserve">Перечень подпрограмм муниципальной программы </w:t>
            </w:r>
          </w:p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040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589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595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69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2021 год — 28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8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218 923,78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2022 год —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598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245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084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91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2023 год — 33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627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00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,00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2024 год — 241 972 974,00рублей,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2025 год — 193 508 371,00 рублей, 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193 508 371,00 рублей, </w:t>
              <w:br/>
              <w:t>2027 год — 193 508 371,00рублей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1"/>
                <w:rFonts w:ascii="Liberation Serif" w:hAnsi="Liberation Serif"/>
                <w:sz w:val="20"/>
                <w:szCs w:val="20"/>
              </w:rPr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 xml:space="preserve">областной бюджет: 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36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599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375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15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96 176 468,23 рублей, </w:t>
              <w:br/>
              <w:t>2022 год — 1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50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519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906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92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100 968 500,00 рублей, </w:t>
              <w:br/>
              <w:t xml:space="preserve">2024 год — 104 216 200,00 рублей, </w:t>
              <w:br/>
              <w:t xml:space="preserve">2025 год — 94 906 100,00 рублей, </w:t>
              <w:br/>
              <w:t xml:space="preserve">2026 год — 94 906 100,00 рублей, </w:t>
              <w:br/>
              <w:t>2027 год — 94 906 100,00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340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474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227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33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66 836 504,16 рублей, </w:t>
              <w:br/>
              <w:t xml:space="preserve">2022 год —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211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458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723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17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13 288 100,00 рублей, </w:t>
              <w:br/>
              <w:t xml:space="preserve">2024 год — 13 287 200,00 рублей, </w:t>
              <w:br/>
              <w:t xml:space="preserve">2025 год — 11 867 900,00 рублей, </w:t>
              <w:br/>
              <w:t xml:space="preserve">2026 год — 11 867 900,00 рублей, </w:t>
              <w:br/>
              <w:t>2027 год — 11 867 900,00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515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21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2021 год — 12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205 951,39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266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454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82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>2023 год — 21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370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9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00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,00 рублей, </w:t>
              <w:br/>
              <w:t xml:space="preserve">2024 год — 124 469 574,00 рублей, </w:t>
              <w:br/>
              <w:t xml:space="preserve">2025 год — 86 734 371,00 рублей, </w:t>
              <w:br/>
              <w:t xml:space="preserve">2026 год — 86 734 371,00 рублей, </w:t>
              <w:br/>
              <w:t>2027 год — 86 734 371,00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0" w:top="55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LibreOffice/6.4.7.2$Linux_X86_64 LibreOffice_project/40$Build-2</Application>
  <Pages>9</Pages>
  <Words>2297</Words>
  <Characters>17443</Characters>
  <CharactersWithSpaces>19614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2022-10-05T11:04:38Z</cp:lastPrinted>
  <dcterms:modified xsi:type="dcterms:W3CDTF">2022-10-05T11:00:20Z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