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jc w:val="center"/>
        <w:rPr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  <w:u w:val="none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  <w:u w:val="none"/>
        </w:rPr>
        <w:t>Р А С П О Р Я Ж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  <w:u w:val="none"/>
        </w:rPr>
      </w:r>
    </w:p>
    <w:p>
      <w:pPr>
        <w:pStyle w:val="Style21"/>
        <w:widowControl/>
        <w:bidi w:val="0"/>
        <w:jc w:val="both"/>
        <w:textAlignment w:val="auto"/>
        <w:rPr/>
      </w:pPr>
      <w:r>
        <w:rPr>
          <w:rStyle w:val="Style14"/>
          <w:rFonts w:cs="Liberation Serif;Times New Roman" w:ascii="Liberation Serif" w:hAnsi="Liberation Serif"/>
          <w:b/>
          <w:bCs/>
          <w:color w:val="000000"/>
          <w:sz w:val="28"/>
          <w:szCs w:val="28"/>
          <w:u w:val="none"/>
        </w:rPr>
        <w:t>от 18.01.2024 № 1</w:t>
      </w:r>
      <w:r>
        <w:rPr>
          <w:rStyle w:val="Style14"/>
          <w:rFonts w:cs="Liberation Serif;Times New Roman" w:ascii="Liberation Serif" w:hAnsi="Liberation Serif"/>
          <w:b/>
          <w:bCs/>
          <w:color w:val="000000"/>
          <w:sz w:val="28"/>
          <w:szCs w:val="28"/>
          <w:u w:val="none"/>
        </w:rPr>
        <w:t>4</w:t>
      </w:r>
      <w:r>
        <w:rPr>
          <w:rStyle w:val="Style14"/>
          <w:rFonts w:cs="Liberation Serif;Times New Roman" w:ascii="Liberation Serif" w:hAnsi="Liberation Serif"/>
          <w:b/>
          <w:bCs/>
          <w:color w:val="000000"/>
          <w:sz w:val="28"/>
          <w:szCs w:val="28"/>
          <w:u w:val="none"/>
        </w:rPr>
        <w:t xml:space="preserve">   </w:t>
      </w:r>
    </w:p>
    <w:p>
      <w:pPr>
        <w:pStyle w:val="Style21"/>
        <w:jc w:val="center"/>
        <w:rPr>
          <w:rStyle w:val="Style14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  <w:u w:val="none"/>
        </w:rPr>
        <w:t>О признании утратившим силу распоряжения главы Камышловского городского округа от 18.12.2014 № 477-р «Об утверждении Административного регламента по предоставлению муниципальной услуги «</w:t>
      </w:r>
      <w:r>
        <w:rPr>
          <w:rStyle w:val="Style14"/>
          <w:rFonts w:ascii="Liberation Serif" w:hAnsi="Liberation Serif"/>
          <w:b/>
          <w:color w:val="000000"/>
          <w:sz w:val="28"/>
          <w:szCs w:val="28"/>
          <w:u w:val="none"/>
        </w:rPr>
        <w:t>Признание молодых семей нуждающимися в улучшении жилищных условий»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color w:val="000000"/>
          <w:sz w:val="28"/>
          <w:szCs w:val="28"/>
          <w:u w:val="none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В  связи с принятием постановления администрации Камышловского городского округа  от 05.06.2023 № 610 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</w:t>
      </w:r>
      <w:r>
        <w:rPr>
          <w:rStyle w:val="Style14"/>
          <w:rFonts w:cs="Arial" w:ascii="Liberation Serif" w:hAnsi="Liberation Serif"/>
          <w:bCs/>
          <w:color w:val="000000"/>
          <w:spacing w:val="-6"/>
          <w:sz w:val="28"/>
          <w:szCs w:val="28"/>
          <w:u w:val="none"/>
        </w:rPr>
        <w:t>»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, руководствуясь  Уставом Камышловского городского округа,</w:t>
      </w:r>
    </w:p>
    <w:p>
      <w:pPr>
        <w:pStyle w:val="Style21"/>
        <w:widowControl/>
        <w:ind w:left="0" w:right="0"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/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Признать утратившим силу распоряжение главы Камышловского городского округа от 18.12.2014 № 477-р «Об утверждении Административного регламента по предоставлению муниципальной услуги «Признание молодых семей нуждающимися в улучшении жилищных условий»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  <w:u w:val="none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bookmarkStart w:id="0" w:name="pril1"/>
      <w:bookmarkEnd w:id="0"/>
      <w:r>
        <w:rPr>
          <w:rFonts w:ascii="Liberation Serif" w:hAnsi="Liberation Serif"/>
          <w:color w:val="000000"/>
          <w:sz w:val="28"/>
          <w:szCs w:val="28"/>
          <w:u w:val="none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Камышловского городского округа                                               А.В. Половников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605</TotalTime>
  <Application>LibreOffice/7.5.2.1$Linux_X86_64 LibreOffice_project/50$Build-1</Application>
  <AppVersion>15.0000</AppVersion>
  <Pages>1</Pages>
  <Words>144</Words>
  <Characters>1050</Characters>
  <CharactersWithSpaces>1235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2024-01-18T15:06:32Z</cp:lastPrinted>
  <dcterms:modified xsi:type="dcterms:W3CDTF">2024-01-18T15:06:35Z</dcterms:modified>
  <cp:revision>148</cp:revision>
  <dc:subject/>
  <dc:title> </dc:title>
</cp:coreProperties>
</file>