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ind w:left="0" w:right="0" w:firstLine="10065"/>
        <w:jc w:val="center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  <w:bookmarkStart w:id="0" w:name="__DdeLink__14490_1400332189"/>
      <w:bookmarkStart w:id="1" w:name="__DdeLink__14490_1400332189"/>
      <w:bookmarkEnd w:id="1"/>
    </w:p>
    <w:p>
      <w:pPr>
        <w:pStyle w:val="Normal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 xml:space="preserve">План мероприятий («дорожная карта») по содействию развитию конкуренции </w:t>
      </w:r>
    </w:p>
    <w:p>
      <w:pPr>
        <w:pStyle w:val="Normal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в Камышловском городском округе, на период 2022-2025 годов</w:t>
      </w:r>
    </w:p>
    <w:p>
      <w:pPr>
        <w:pStyle w:val="Normal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 xml:space="preserve"> </w:t>
      </w:r>
    </w:p>
    <w:p>
      <w:pPr>
        <w:pStyle w:val="Normal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 xml:space="preserve">отчет за </w:t>
      </w: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2</w:t>
      </w: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 xml:space="preserve"> полугодие 2023 года</w:t>
      </w:r>
    </w:p>
    <w:p>
      <w:pPr>
        <w:pStyle w:val="Normal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 xml:space="preserve">Мероприятия по содействию развитию конкуренции на товарных рынках </w:t>
      </w:r>
      <w:r>
        <w:rPr>
          <w:rFonts w:eastAsia="Calibri" w:cs="Liberation Serif;Times New Roman" w:ascii="Liberation Serif;Times New Roman" w:hAnsi="Liberation Serif;Times New Roman"/>
          <w:b/>
          <w:color w:val="auto"/>
          <w:sz w:val="28"/>
          <w:szCs w:val="28"/>
          <w:lang w:val="ru-RU" w:eastAsia="zh-CN" w:bidi="ar-SA"/>
        </w:rPr>
        <w:t>Камышловского городского округа</w:t>
      </w:r>
    </w:p>
    <w:p>
      <w:pPr>
        <w:pStyle w:val="Normal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/>
          <w:sz w:val="24"/>
          <w:szCs w:val="24"/>
        </w:rPr>
      </w:r>
    </w:p>
    <w:tbl>
      <w:tblPr>
        <w:tblW w:w="15540" w:type="dxa"/>
        <w:jc w:val="left"/>
        <w:tblInd w:w="-4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701"/>
        <w:gridCol w:w="3475"/>
        <w:gridCol w:w="859"/>
        <w:gridCol w:w="973"/>
        <w:gridCol w:w="957"/>
        <w:gridCol w:w="1063"/>
        <w:gridCol w:w="3775"/>
      </w:tblGrid>
      <w:tr>
        <w:trPr>
          <w:cantSplit w:val="true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Номер строки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Результат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исполнения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мероприятий</w:t>
            </w:r>
          </w:p>
        </w:tc>
        <w:tc>
          <w:tcPr>
            <w:tcW w:w="3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Отчет о исполнении мероприятий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за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2</w:t>
            </w: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 xml:space="preserve"> полугодие 2023 года</w:t>
            </w:r>
          </w:p>
        </w:tc>
      </w:tr>
      <w:tr>
        <w:trPr>
          <w:cantSplit w:val="true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3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2023 год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2024 год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2025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год</w:t>
            </w:r>
          </w:p>
        </w:tc>
        <w:tc>
          <w:tcPr>
            <w:tcW w:w="37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25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5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7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8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1. Рынок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>универсальных ярмарок (в т.ч. с реализацией сельскохозяйственной продукции)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Описание текущей ситуации на рынке.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 xml:space="preserve">Розничная торговля – один из наиболее развитых сегментов потребительского рынка. Подавляющее большинство действующих организаций торговли относится к числу субъектов малого и среднего предпринимательства. В настоящее время на территории Камышловского городского округа действуют 381 объект торговли, 37 объектов общественного питания, 111 объектов бытового обслуживания населения. Обеспеченность торговыми площадями на 1000 жителей на 01.01.2022 г. составила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ru-RU" w:bidi="ar-SA"/>
              </w:rPr>
              <w:t>1196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 xml:space="preserve"> м2 (при нормативе, минимальной обеспеченности утвержденном Приказом Министерства агропромышленного комплекса и продовольствия Свердловской области № 290 от 16.07.2019 г.- 506,5 м2).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>В сфере потребительского рынка на территории Камышловского городского округа работают крупные торговые сети: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>«Монетка», «Магнит», «Магнит - косметик», «Пятерочка», «DNS», «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ru-RU" w:bidi="ar-SA"/>
              </w:rPr>
              <w:t>RBT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>», «Красное и белое», «Светофор», «Верный», «Доброцен»,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В Камышловском городском округе с 2009 года традиционно проводятся сельскохозяйственные ярмарки. В соответствии с Планом организации и проведения сельскохозяйственные ярмарки проводятся ежеквартально. Принимают участие производители, занимающиеся выращиванием сельскохозяйственной продукции, в широком ассортименте реализуются продовольственные товары, продукты питания, продукция пчеловодства, кондитерские и хлебобулочные изделия, молочная продукция, а также изделия народных промыслов и многое другое. В 2021 году в связи с ситуацией по пандемии коронавируса проведено 3 ярмарки: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23.05.2021 года состоялась Тихоновская ярмарка, в которой приняли участие 22 ярмарочника.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05.09.2021 года состоялась Покровская ярмарка, в которой приняли участие 29 ярмарочников.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19.12.2021 года состоялась Рождественская ярмарка, в которой приняли участие 41 участник.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Проблемные вопросы.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Появление торговых сетей на территории города ограничивает возможности развития малого предпринимательства.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Методы решения.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Проведение ярмарок для реализации сельхозпродукции товаропроизводителей.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  <w:highlight w:val="white"/>
              </w:rPr>
              <w:t>2. Создание условий для наиболее полного удовлетворения спроса населения на потребительские товары и услуги.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Формирование ежегодного плана организации и проведения ярмарок на территории Камышловского городского округа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утверждение ежегодного плана организации и проведения ярмарок на территории муниципального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Организация и проведение ярмарок на территории Камышловского городского округа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привлечение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сельскохозяйственных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организаций к реализации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сельскохозяйственной продукции на ярмарочных мероприятиях, количество ярмарок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Организовано и проведено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5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универсальных ярмарки.</w:t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2. Рынок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lang w:eastAsia="ru-RU"/>
              </w:rPr>
              <w:t xml:space="preserve">дорожной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lang w:eastAsia="ru-RU"/>
              </w:rPr>
              <w:t xml:space="preserve"> (за исключением проектирования)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Обоснование выбора товарного рынка с описанием текущей ситуации.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муниципальной программой «Развитие социально-экономического комплекса Камышловского городского округа </w:t>
            </w:r>
            <w:r>
              <w:rPr>
                <w:rFonts w:eastAsia="Calibri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на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2021-2027 годы», утвержденной постановлением главы Камышловского ГО от 09.11.2018 г. № 965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, и уставом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муниципального казенного учреждения «Центр обеспечения деятельности администрации Камышловского городского округа»,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 полномочия муниципального заказчика по строительству, реконструкции, капитальному ремонту, ремонту и содержанию автомобильных дорог местного значения и иных связанных с этой деятельностью работ и услуг осуществляет МКУ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«Центр обеспечения деятельности администрации Камышловского городского округа»,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 в соответствии с законодательством Российской Федерации. По состоянию на 1 января 2022 года по контрактам, заключенным МКУ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«Центр обеспечения деятельности администрации Камышловского городского округа»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, доля присутствия частного бизнеса в отрасли строительства, реконструкции, ремонтных работ, работ по содержанию автомобильных дорог составляет 100%.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Основные проблемы.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eastAsia="Calibri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ru-RU" w:bidi="ar-SA"/>
              </w:rPr>
              <w:t>Насыщенность рынка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Ограниченное количество квалифицированных специалистов на рынке.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3. Недостаточное финансирование дорожной деятельности относительно нормативной потребности.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Методы решения.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Увеличение финансирования дорожной деятельности за счет средств областного бюджета.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Повышение качества оказания услуг.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Мониторинг исполнения обязательств по заключенному контракту по выполнению работ, оказанию услуг и качества выполнения в соответствии с условиями контракта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доля завершенных контрактов с исполнением выполненных работ, оказанием услуг, соответствующие условиям контракта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3. Рынок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>кадастровых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 и землеустроительных работ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Обоснование выбора товарного рынка с описанием текущей ситуации.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Хозяйствующими субъектами на рынке кадастровых и землеустроительных работ являются кадастровые инженеры, осуществляющие кадастровую деятельность в качестве индивидуальных предпринимателей, и юридические лица, имеющие в штате кадастровых инженеров, осуществляющих кадастровую деятельность в качестве работников такого юридического лица на основании трудовых договоров (Федеральный закон от 24 июля 2007 года № 221-ФЗ «О кадастровой деятельности»), а также юридические лица, имеющие лицензию на осуществление геодезической и картографической деятельности и выполняющие землеустроительные работы (Федеральный закон от 18 июня 2001 года № 78-ФЗ «О землеустройстве», постановление Правительства Российской Федерации от 28.10.2016 № 1099 «О лицензировании геодезической и картографической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деятельности»). В Камышловском городском округе на рынке кадастровых и землеустроительных работ осуществляют деятельность организации частного сектора.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Администрацией Камышловского городского округа за 20</w:t>
            </w:r>
            <w:r>
              <w:rPr>
                <w:rFonts w:eastAsia="Calibri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ru-RU" w:bidi="ar-SA"/>
              </w:rPr>
              <w:t>21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 год оформлено право собственности на 72 объекта недвижимого имущества.  Постановка на кадастровый учет и инвентаризация объектов была осуществлена на основании муниципальных контрактов, заключенных с филиалом СОГУП «Камышловское БТИ», что обеспечило высокое качество выполненных работ. В течении 2021 года было проведено межевание, постановка на кадастровый учет и регистрация права собственности на 21 земельный участок, расположенных на территории Камышловского городского округа.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Проблемные вопросы.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Низкое качество кадастровых работ.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Наличие незарегистрированных объектов недвижимости.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Методы решения.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Повышение требований к исполнителям работ при заключении государственных контрактов.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Выявление неоформленных объектов недвижимости в целях обеспечения проведения в отношении них кадастровых работ.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Выявление незарегистрированных объектов недвижимости, находящихся в собственности муниципального образования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увеличение доли зарегистрированных объектов недвижимости, от общего числа объектов, находящихся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в собственности,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125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130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125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Выявление собственников неучтенных, незарегистрированных объектов недвижимости (бесхозяйных объектов недвижимости)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сформирован перечень незарегистрированных объектов недвижимости, </w:t>
            </w:r>
            <w:r>
              <w:rPr>
                <w:rFonts w:eastAsia="Calibri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4. Рынок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>теплоснабжения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 (производство тепловой энергии)</w:t>
            </w:r>
          </w:p>
        </w:tc>
      </w:tr>
      <w:tr>
        <w:trPr>
          <w:trHeight w:val="81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Обоснование выбора товарного рынка с описанием текущей ситуации. По состоянию на 1 января 2022 года на рынке теплоснабжения Камышловского городского округа осуществляют деятельность 5 теплоснабжающих организаций, из них 2 организации частной формы собственности (40% от общего количества организаций на рынке). Отпуск тепловой энергии теплоснабжающими организациями производится от 28 отопительных котельных суммарной мощностью 148,65 Гкал/час, из которых 7% от общего числа котельных являются частными. На природном газе работают 9 котельных (32,1%), на угле – 19 котельных (67,9%).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highlight w:val="white"/>
                <w:lang w:eastAsia="ru-RU"/>
              </w:rPr>
              <w:t xml:space="preserve">В целях реализации положений Федерального закона от 27 июля 2010 года № 190-ФЗ «О теплоснабжении»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Камышловским городским округом утверждена схема теплоснабжения, ежегодно осуществляется ее актуализация. В рамках схем теплоснабжения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highlight w:val="white"/>
                <w:lang w:eastAsia="ru-RU"/>
              </w:rPr>
              <w:t>определены основные этапы развития систем теплоснабжения.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highlight w:val="white"/>
                <w:lang w:eastAsia="ru-RU"/>
              </w:rPr>
              <w:t>Проблемный вопрос. Высокий уровень физического износа объектов и сооружений коммунальной инфраструктуры, который приводит к возникновению аварийных ситуаций.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highlight w:val="white"/>
                <w:lang w:eastAsia="ru-RU"/>
              </w:rPr>
              <w:t>Методы решения.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highlight w:val="white"/>
                <w:lang w:eastAsia="ru-RU"/>
              </w:rPr>
              <w:t>1. Проведение реконструкции и модернизации существующих источников теплоснабжения.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highlight w:val="white"/>
                <w:lang w:eastAsia="ru-RU"/>
              </w:rPr>
              <w:t>2. Повышение уровня профессиональной подготовки инженерного и технического состава, обслуживающего источники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highlight w:val="white"/>
                <w:lang w:eastAsia="ru-RU"/>
              </w:rPr>
              <w:t>теплоснабжения.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highlight w:val="white"/>
                <w:lang w:eastAsia="ru-RU"/>
              </w:rPr>
              <w:t>3. Повышение качества оказания услуг на рынке теплоснабжения.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highlight w:val="white"/>
                <w:lang w:eastAsia="ru-RU"/>
              </w:rPr>
              <w:t>4. Передача управления объектов производства тепловой энергии частным операторам на основе концессионных соглашений.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highlight w:val="white"/>
                <w:lang w:eastAsia="ru-RU"/>
              </w:rPr>
              <w:t>5. Организационно-методическая и консультационная поддержка по вопросам организации деятельности организаций в сфере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highlight w:val="white"/>
                <w:lang w:eastAsia="ru-RU"/>
              </w:rPr>
              <w:t>теплоснабжения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Утверждение схем теплоснабжения (ежегодная актуализация)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наличие утвержденной нормативным правовым актом схемы теплоснабжения,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Постановлением администрации Камышловского городского округа от 28.05.2021 года № 366 утверждена «Схема теплоснабжения Камышловского городского округа на период до 2036 года»</w:t>
            </w:r>
          </w:p>
        </w:tc>
      </w:tr>
      <w:tr>
        <w:trPr>
          <w:trHeight w:val="5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Заключение в отношении объектов теплоснабжения договоров аренды и концессионных соглашений,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только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по результатам проведения конкурсов на право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их заключения, за исключением предоставления указанных прав на такое имущество в соответствии с законодательством Российской Федерации, в том числе передача такого имущества на праве хозяйственного ведения или оперативного управления муниципальным предприятиям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или учреждениям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наличие у муниципального образования паспорта готовности </w:t>
              <w:br/>
              <w:t>к отопительному периоду,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5. Рынок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>выполнения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 работ по благоустройству городской среды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Обоснование выбора товарного рынка с описанием текущей ситуации.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На территории Камышловского городского округа находится 8 общественных территорий, из них 5 общественных территорий нуждаются в благоустройстве.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В рамках участия в региональном проекте «Формирование комфортной городской среды» на территории Камышловского городского округа в период 2018-2020 годов комплексно благоустроены три общественные территории по ул. К. Маркса: центральный городской сквер, площадь и пешеходная зона от ул. Маяковского до ул. Ленина. Выполнены работы по покрытию поверхности, устройству наружного освещения, установке скамеек и урн, тротуаров, организации детских игровых площадок, произведены озеленение территории и установка ограждения. Общая стоимость реализации проекта по комплексному благоустройству ул. К. Маркса (центральный городской сквер и площадь) в Камышловском городском округе составила 26,9 млн. рублей, в том числе средства областного бюджета – 26,3 млн. рублей, средства местного бюджета – 0,6 млн. рублей. Стоимость реализации проекта по комплексному благоустройству ул. К. Маркса от ул. Урицкого до ул. Ленина в Камышловском городском округе составила 48,214 млн. рублей, в том числе средства областного бюджета – 47,379 млн. рублей, средства местного бюджета – 0,835 млн. рублей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Проблемные вопросы.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1.Недостаточный уровень благоустройства общественных территорий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2.Низкая инвестиционная привлекательность сферы благоустройства городской среды.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3.Повышенные требования к оперативности выполнения работ по благоустройству городской среды (сезонность).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4.Недостаточно высокий уровень квалификации работников подрядных организаций, выполняющих работы по благоустройству городской среды.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Методы решения.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Применение конкурентных способов при размещении государственных заказов на выполнение работ по благоустройству городской среды.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 Повышение информированности бизнеса о рынке выполнения работ по благоустройству городской среды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16" w:before="0" w:after="0"/>
              <w:jc w:val="both"/>
              <w:rPr>
                <w:rFonts w:ascii="Liberation Serif;Times New Roman" w:hAnsi="Liberation Serif;Times New Roman" w:cs="Liberation Serif;Times New Roman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kern w:val="2"/>
                <w:sz w:val="24"/>
                <w:szCs w:val="24"/>
              </w:rPr>
              <w:t>Создание условий для развития конкуренции на рынке выполнения работ по благоустройству городской среды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napToGrid w:val="false"/>
              <w:spacing w:lineRule="auto" w:line="216" w:before="0" w:after="0"/>
              <w:ind w:left="0" w:right="0" w:hanging="0"/>
              <w:jc w:val="center"/>
              <w:textAlignment w:val="baseline"/>
              <w:rPr>
                <w:rFonts w:ascii="Liberation Serif;Times New Roman" w:hAnsi="Liberation Serif;Times New Roman" w:cs="Liberation Serif;Times New Roman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16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</w:tr>
      <w:tr>
        <w:trPr>
          <w:trHeight w:val="104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16" w:before="0" w:after="0"/>
              <w:jc w:val="both"/>
              <w:rPr>
                <w:rFonts w:ascii="Liberation Serif;Times New Roman" w:hAnsi="Liberation Serif;Times New Roman" w:cs="Liberation Serif;Times New Roman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kern w:val="2"/>
                <w:sz w:val="24"/>
                <w:szCs w:val="24"/>
              </w:rPr>
              <w:t>Информирование о реализации мероприятий муниципальных программ «Формирование комфортной городской среды»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доля размещенной информации на официальных страницах ОМСУ в сети «Интернет» о реализации мероприятий муниципальных программ формирования современной городской среды,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napToGrid w:val="false"/>
              <w:spacing w:lineRule="auto" w:line="216" w:before="0" w:after="0"/>
              <w:ind w:left="0" w:right="0" w:hanging="0"/>
              <w:jc w:val="center"/>
              <w:textAlignment w:val="baseline"/>
              <w:rPr>
                <w:rFonts w:ascii="Liberation Serif;Times New Roman" w:hAnsi="Liberation Serif;Times New Roman" w:cs="Liberation Serif;Times New Roman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16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16" w:before="0" w:after="0"/>
              <w:jc w:val="both"/>
              <w:rPr>
                <w:rFonts w:ascii="Liberation Serif;Times New Roman" w:hAnsi="Liberation Serif;Times New Roman" w:cs="Liberation Serif;Times New Roman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kern w:val="2"/>
                <w:sz w:val="24"/>
                <w:szCs w:val="24"/>
              </w:rPr>
              <w:t>Организация и проведение публичных торгов или иных конкурентных процедур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доля размещенных в сети «Интернет» информационных сообщений о проведении торгов или иных конкурентных процедур в общем количестве проведенных торгов или иных конкурентных процедур,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napToGrid w:val="false"/>
              <w:spacing w:lineRule="auto" w:line="216" w:before="0" w:after="0"/>
              <w:ind w:left="0" w:right="0" w:hanging="0"/>
              <w:jc w:val="center"/>
              <w:textAlignment w:val="baseline"/>
              <w:rPr>
                <w:rFonts w:ascii="Liberation Serif;Times New Roman" w:hAnsi="Liberation Serif;Times New Roman" w:cs="Liberation Serif;Times New Roman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16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Liberation Serif;Times New Roman" w:ascii="Liberation Serif;Times New Roman" w:hAnsi="Liberation Serif;Times New Roman"/>
                <w:b/>
                <w:color w:val="auto"/>
                <w:sz w:val="24"/>
                <w:szCs w:val="24"/>
                <w:lang w:val="ru-RU" w:eastAsia="zh-CN" w:bidi="ar-SA"/>
              </w:rPr>
              <w:t>6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. Рынок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>выполнения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 работ по содержанию и текущему ремонту общего имущества собственников помещений в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многоквартирном доме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Обоснование выбора товарного рынка с описанием текущей ситуации.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На территории Камышловского городского округа расположено 635 многоквартирных домов, в том числе дома блокированной застройки. Управление жилищным фондом осуществляют 3 управляющих компании, 6 ТСЖ и жители 36 МКД определили способ управления – непосредственное управление. Доля жилищного фонда, находящегося в управлении управляющих компаний составляет 99% (без учета домов блокированной застройки). Деятельность организаций, управляющих многоквартирными жилыми домами, направлена на обеспечение безопасных, комфортных условий проживания граждан, а также на обеспечение открытости, прозрачности деятельности по управлению домами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РФ от 23.09.2010 года № 731. Одной из основных форм государственного регулирования и контроля за качеством предоставляемых жилищно-коммунальных услуг является лицензирование деятельности предприятий, сертификация работ и услуг, подготовка специалистов отрасли. Использование данных форм регулирования не должно создавать барьеры для вхождения на вновь формируемый рынок новых организаций.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Проблемные вопросы.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1. Высокий износ инженерных сетей и конструктивных элементов домов;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2. Низкая обеспеченность квалифицированными кадрами;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3. Неэффективная система управления предприятиями жилищно-коммунального комплекса;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4. Несоблюдение управляющими организациями требований действующего законодательства по обеспечению прозрачности своей деятельности.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Методы решения.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1. Повышение качества оказания жилищно-коммунальных услуг.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2. Развитие электронных форм и площадок своевременного информирования управляющих компаний о возникших проблемах.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3. Создание благоприятных условий для роста количества лицензированных организаций, способных предлагать услуги на рынке предоставления услуг по управлению многоквартирным домом.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kern w:val="2"/>
                <w:sz w:val="24"/>
                <w:szCs w:val="24"/>
              </w:rPr>
              <w:t>Информирование собственников жилых помещений в многоквартирных домах через средства массовой информации (в том числе Интернет-сайты) об обязанностях управляющих организаций, правах и обязанностях собственников помещений многоквартирных домов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kern w:val="2"/>
                <w:sz w:val="24"/>
                <w:szCs w:val="24"/>
              </w:rPr>
              <w:t>Обеспечение размещения нормативно-правовых актов 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kern w:val="2"/>
                <w:sz w:val="24"/>
                <w:szCs w:val="24"/>
              </w:rPr>
              <w:t>сфере ЖКХ в Государственной информационно-аналитической системе ЖКХ (ГИС ЖКХ), на сайте Камышловского городского округа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kern w:val="2"/>
                <w:sz w:val="24"/>
                <w:szCs w:val="24"/>
              </w:rPr>
              <w:t>доля размещенных нормативно-правовых актов в сфере ЖКХ,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lang w:eastAsia="ru-RU"/>
              </w:rPr>
              <w:t xml:space="preserve">7. Рынок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>оказания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lang w:eastAsia="ru-RU"/>
              </w:rPr>
              <w:t xml:space="preserve">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Обоснование выбора товарного рынка с описанием текущей ситуации.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В Камышловском городском округе рынок услуг регулярных перевозок пассажиров наземным автомобильным транспортом сформирован с учетом сложившейся маршрутной сети, а также существующего спроса населения на эти услуги. В </w:t>
            </w:r>
            <w:r>
              <w:rPr>
                <w:rFonts w:eastAsia="Calibri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ru-RU" w:bidi="ar-SA"/>
              </w:rPr>
              <w:t>Камышловском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 городском округе муниципальные унитарные предприятия, оказывающих услуги по перевозке пассажиров, отсутствуют. По состоянию на 1 января 2022 года доля частных перевозчиков составляет 100% - </w:t>
            </w:r>
            <w:r>
              <w:rPr>
                <w:rFonts w:eastAsia="Calibri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ru-RU" w:bidi="ar-SA"/>
              </w:rPr>
              <w:t>ООО «Авто-Плюс».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Проблемные вопросы.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Низкий уровень развития частного сектора на рынке услуг по перевозке пассажиров автомобильным транспортом по муниципальным маршрутам регулярных перевозок.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Значительные первоначальные вложения (стоимость автобусов и их обслуживания) при длительных сроках окупаемости.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Методы решения.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Оптимизация маршрутной сети.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Обновление подвижного состава.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3. Субсидирование перевозок отдельных категорий граждан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Проведение мониторинга </w:t>
              <w:br/>
              <w:t xml:space="preserve">исполнения муниципальных контрактов в соответствии </w:t>
              <w:br/>
              <w:t>с требованиями законодательства о закупочной деятельности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доля муниципальных контрактов, заключенных в соответствии с требованиями законодательства о закупочной деятельности,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eastAsia="Arial Unicode MS" w:cs="Liberation Serif;Times New Roman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Liberation Serif;Times New Roman" w:ascii="Liberation Serif;Times New Roman" w:hAnsi="Liberation Serif;Times New Roman"/>
                <w:sz w:val="24"/>
                <w:szCs w:val="24"/>
                <w:lang w:eastAsia="ru-RU" w:bidi="ru-RU"/>
              </w:rPr>
              <w:t>100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eastAsia="Arial Unicode MS" w:cs="Liberation Serif;Times New Roman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Liberation Serif;Times New Roman" w:ascii="Liberation Serif;Times New Roman" w:hAnsi="Liberation Serif;Times New Roman"/>
                <w:sz w:val="24"/>
                <w:szCs w:val="24"/>
                <w:lang w:eastAsia="ru-RU" w:bidi="ru-RU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8. Рынок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>легкой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 промышленности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Обоснование выбора товарного рынка с описанием текущей ситуации.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В Камышловском городском округе легкая промышленность включает в себя два вида экономической деятельности: производство одежды и производство кожи. По состоянию на 1 января 2022 года доля организаций частной формы собственности в сфере легкой промышленности составляет 100%.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Ведущие организации Камышловского городского округа в сфере легкой промышленности ООО ТД «Кожевенный завод», ИП Семенова О.В., Попова Л.М.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ООО ТД «Кожевенный завод» -одно из немногих в России производств в кожевенной отрасли. Производит следующие виды продукции: кожа хромовая дубленая для верха обуви, кожа для подкладки обуви, юфть термоустойчивую, кожа для одежды, мебели. Кроме того, производится кожа для низа обуви, краст и полу-фабрикат «вет-блю».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ИП Семенова О.В. и ИП Попова Л.М.  - производство спецодежды на заказ.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Проблемные вопросы.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Высокий уровень конкуренции со стороны российских товаров из других регионов Российской Федерации.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Снижение покупательной способности населения.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3. Высокая для данной отрасли налоговая нагрузка.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Методы решения.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Привлечение организаций к участию в различных конкурсах и выставках.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Проведение организационных мероприятий (семинары, совещания, рабочие встречи, в рамках Координационного совета по инвестициям и развитию предпринимательства, с представителями субъектов предпринимательской деятельности), направленных на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повышение конкурентоспособности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и взаимодействия с предприятиями сферы оказываемых услуг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Доля организаций частной формы собственности в сфере легкой промышленности, процент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lang w:eastAsia="ru-RU"/>
              </w:rPr>
              <w:t xml:space="preserve">9. Рынок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оказания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lang w:eastAsia="ru-RU"/>
              </w:rPr>
              <w:t xml:space="preserve"> услуг по обслуживанию и ремонту автотранспортных средств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Обоснование выбора товарного рынка с описанием текущей ситуации. На рынке услуг по обслуживанию и ремонту транспортных средств отмечается высокая доля присутствия частного бизнеса-100%.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М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униципальные предприятия, предоставляющие данный вид услуг, в городском округе отсутствуют.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Н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а 01.01.202</w:t>
            </w:r>
            <w:r>
              <w:rPr>
                <w:rFonts w:eastAsia="Calibri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 года в Камышловском городском округе в сфере обслуживания и ремонта автотранспортных средств ведут деятельность 23 организации.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Основные проблемы.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Низкая обеспеченность объектов, предоставляющих услуги по техническому обслуживанию и ремонту транспортных средств, производственными мощностями, инфраструктурой для клиентов, техникой, современными технологиями.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Дефицит персонала высокой квалификации, порождающий конкуренцию автомастерских за высококвалифицированные кадры.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Методы решения.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Техническое перевооружение организаций и расширение спектра предоставляемых авторемонтных услуг.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Информационное взаимодействие с представителям сферы услуг по обслуживанию и ремонту транспортных средств.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Мониторинг состояния и развития сети объектов, предоставляющих услуги по обслуживанию и ремонту транспортных средств, в рамках годовой отчетности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предоставление ежегодного отчета о результатах мониторинга в Министерство агропромышленного комплекса и потребительского рынка Свердловской области,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Проведение организационных мероприятий (семинары, совещания, рабочие встречи, в рамках Координационного совета по инвестициям и развитию предпринимательства, с представителями субъектов предпринимательской деятельности), направленных на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повышение конкурентоспособности</w:t>
            </w:r>
          </w:p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и взаимодействия с предприятиями сферы оказываемых услуг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доля организаций частной формы собственности в анализируемой сфере,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1</w:t>
            </w:r>
            <w:r>
              <w:rPr>
                <w:rFonts w:eastAsia="Calibri" w:cs="Liberation Serif;Times New Roman" w:ascii="Liberation Serif;Times New Roman" w:hAnsi="Liberation Serif;Times New Roman"/>
                <w:b/>
                <w:color w:val="000000"/>
                <w:sz w:val="24"/>
                <w:szCs w:val="24"/>
                <w:lang w:val="ru-RU" w:eastAsia="zh-CN" w:bidi="ar-SA"/>
              </w:rPr>
              <w:t>0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. Сфера наружной рекламы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Обоснование выбора товарного рынка с описанием текущей ситуации.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По состоянию на 1 января 2022 года доля организаций частной формы собственности на рынке наружной рекламы составляла 100%.  </w:t>
            </w: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  <w:t>Развитие рынка наружной рекламы обеспечивалось за счет возрастающего числа высокотехнологичных рекламных конструкций с электронно-цифровой сменой изображения, таких как медиафасады и видеоэкраны.</w:t>
            </w:r>
          </w:p>
          <w:p>
            <w:pPr>
              <w:pStyle w:val="Normal"/>
              <w:keepLines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Проблемные вопросы.</w:t>
            </w:r>
          </w:p>
          <w:p>
            <w:pPr>
              <w:pStyle w:val="Normal"/>
              <w:keepLines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Органы местного самоуправления не наделены полномочиями по составлению протоколов об административных правонарушениях по части 1 статьи 19.5 Кодекса Российской Федерации об административных правонарушениях за невыполнение в установленный срок предписания о нарушениях законодательства о рекламе, предусмотренные статьей 19 Федерального закона  от 13 марта 2006 года № 38-ФЗ «О рекламе».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Методы решения.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Расширение функций уполномоченных органов в сфере рекламы.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Борьба с незаконными рекламными конструкциями и недобросовестными рекламораспространителями,</w:t>
            </w: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 xml:space="preserve"> направленная на повышение инвестиционной привлекательности рынка наружной рекламы.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3. Проведение торгов на размещение рекламных конструкций только в электронном виде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Размещение на официальном сайте Камышловского городского округа нормативных правовых актов, регулирующих сферу наружной рекламы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наличие на официальном сайте 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сети «Интернет» актуальной информации о нормативных правовых актах, регулирующих сферу наружной рекламы,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28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(</w:t>
            </w:r>
            <w:hyperlink r:id="rId2">
              <w:r>
                <w:rPr>
                  <w:rFonts w:cs="Liberation Serif;Times New Roman" w:ascii="Liberation Serif;Times New Roman" w:hAnsi="Liberation Serif;Times New Roman"/>
                  <w:sz w:val="24"/>
                  <w:szCs w:val="24"/>
                </w:rPr>
                <w:t>http://gorod-kamyshlov.ru/communal/buildingadvert/</w:t>
              </w:r>
            </w:hyperlink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)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 xml:space="preserve">Утверждение схем размещения рекламных конструкций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(актуализация)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доля согласованных актуализированных схем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размещения рекламных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конструкций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eastAsia="Liberation Serif;Times New Roman" w:cs="Liberation Serif;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Liberation Serif;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(</w:t>
            </w:r>
            <w:hyperlink r:id="rId3">
              <w:r>
                <w:rPr>
                  <w:rFonts w:cs="Liberation Serif;Times New Roman" w:ascii="Liberation Serif;Times New Roman" w:hAnsi="Liberation Serif;Times New Roman"/>
                  <w:sz w:val="24"/>
                  <w:szCs w:val="24"/>
                </w:rPr>
                <w:t>http://gorod-kamyshlov.ru/communal/buildingadvert/</w:t>
              </w:r>
            </w:hyperlink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)</w:t>
            </w:r>
          </w:p>
        </w:tc>
      </w:tr>
      <w:tr>
        <w:trPr>
          <w:trHeight w:val="26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 xml:space="preserve">11. Рынок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ритуальных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 xml:space="preserve"> услуг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>Обоснование выбора товарного рынка с описанием текущей ситуации.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По состоянию 1 января 2022 года на территории Камышловского городского округа </w:t>
            </w:r>
            <w:r>
              <w:rPr>
                <w:rFonts w:eastAsia="Calibri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5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организаций частной формы собственности по оказанию ритуальных услуг и 1 организация муниципальной формы собственности.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Содержание мест захоронения на территории города закреплено за муниципальным казенным учреждением «Центр городского </w:t>
            </w:r>
            <w:r>
              <w:rPr>
                <w:rFonts w:eastAsia="Calibri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обслуживания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».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Действуют и содержатся два кладбища: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- Городское кладбище – общая площадь 10,9 га., расположенное по адресу: г.Камышлов, ул. Октябрьская, 1а;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- Закамышловское кладбище – общая площадь – 6 га., расположенное по адресу: г.Камышлов, ул. Закамышловская 1б.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Проблемные вопросы. Законодательством Российской Федерации не урегулирована деятельность коммерческих организаций и индивидуальных предпринимателей, осуществляющих оказание ритуальных услуг в населенных пунктах, не определен порядок взаимодействия специализированных служб с коммерческими организациями и индивидуальными предпринимателями. В связи с этим граждане сталкиваются с избыточностью процедур при оформлении необходимых для погребения документов, низким качеством ритуальных услуг, отсутствием квалифицированных ритуальных агентов, навязыванием дорогостоящих услуг.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Методы решения</w:t>
            </w:r>
            <w:r>
              <w:rPr>
                <w:rFonts w:cs="Liberation Serif;Times New Roman" w:ascii="Liberation Serif;Times New Roman" w:hAnsi="Liberation Serif;Times New Roman"/>
                <w:i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1. Выработка и реализация мер по снижению уровня коррупции в сфере предоставления ритуальных услуг.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both"/>
              <w:rPr>
                <w:rFonts w:ascii="Liberation Serif;Times New Roman" w:hAnsi="Liberation Serif;Times New Roman" w:eastAsia="Arial Unicode MS" w:cs="Liberation Serif;Times New Roman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Liberation Serif;Times New Roman" w:ascii="Liberation Serif;Times New Roman" w:hAnsi="Liberation Serif;Times New Roman"/>
                <w:sz w:val="24"/>
                <w:szCs w:val="24"/>
                <w:lang w:eastAsia="ru-RU" w:bidi="ru-RU"/>
              </w:rPr>
              <w:t>Формирование реестра организаций, осуществляющих деятельность на рынке ритуальных услуг Камышловского городского округа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eastAsia="Calibri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н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аличие на официальном сайте администрации Камышловского городского округа актуального реестра организаций, осуществляющих деятельность на рынке ритуальных услуг,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28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(</w:t>
            </w:r>
            <w:hyperlink r:id="rId4">
              <w:r>
                <w:rPr>
                  <w:rFonts w:cs="Liberation Serif;Times New Roman" w:ascii="Liberation Serif;Times New Roman" w:hAnsi="Liberation Serif;Times New Roman"/>
                  <w:sz w:val="24"/>
                  <w:szCs w:val="24"/>
                </w:rPr>
                <w:t>http://gorod-kamyshlov.ru/economy/</w:t>
              </w:r>
            </w:hyperlink>
            <w:hyperlink r:id="rId5">
              <w:r>
                <w:rPr>
                  <w:rFonts w:cs="Liberation Serif;Times New Roman" w:ascii="Liberation Serif;Times New Roman" w:hAnsi="Liberation Serif;Times New Roman"/>
                  <w:sz w:val="24"/>
                  <w:szCs w:val="24"/>
                </w:rPr>
                <w:t>consumerenterprises/</w:t>
              </w:r>
            </w:hyperlink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)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both"/>
              <w:rPr>
                <w:rFonts w:ascii="Liberation Serif;Times New Roman" w:hAnsi="Liberation Serif;Times New Roman" w:eastAsia="Arial Unicode MS" w:cs="Liberation Serif;Times New Roman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Liberation Serif;Times New Roman" w:ascii="Liberation Serif;Times New Roman" w:hAnsi="Liberation Serif;Times New Roman"/>
                <w:sz w:val="24"/>
                <w:szCs w:val="24"/>
                <w:lang w:eastAsia="ru-RU" w:bidi="ru-RU"/>
              </w:rPr>
              <w:t>Организация инвентаризации кладбищ и мест захоронений на них</w:t>
            </w:r>
          </w:p>
        </w:tc>
        <w:tc>
          <w:tcPr>
            <w:tcW w:w="34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eastAsia="Calibri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с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ведения о существующих кладбищах Камышловского городского округа и местах захоронений на них включены в реестр кладбищ Свердловской области и мест захоронений на них, размещенный на Едином портале государственных и муниципальных услуг, процентов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28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eastAsia="Calibri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28" w:before="0" w:after="0"/>
              <w:jc w:val="center"/>
              <w:rPr>
                <w:rFonts w:ascii="Liberation Serif;Times New Roman" w:hAnsi="Liberation Serif;Times New Roman" w:eastAsia="Calibri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Liberation Serif;Times New Roman" w:ascii="Liberation Serif;Times New Roman" w:hAnsi="Liberation Serif;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ru-RU" w:eastAsia="zh-CN" w:bidi="ar-SA"/>
              </w:rPr>
              <w:t>5%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28" w:before="0" w:after="0"/>
              <w:jc w:val="center"/>
              <w:rPr>
                <w:rFonts w:ascii="Liberation Serif;Times New Roman" w:hAnsi="Liberation Serif;Times New Roman" w:eastAsia="Calibri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Liberation Serif;Times New Roman" w:ascii="Liberation Serif;Times New Roman" w:hAnsi="Liberation Serif;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ru-RU" w:eastAsia="zh-CN" w:bidi="ar-SA"/>
              </w:rPr>
              <w:t>Постановлением администрации от 06.12.2022 года №1179 утвержден «Порядок проведения инвентаризации мест захоронений</w:t>
            </w:r>
          </w:p>
          <w:p>
            <w:pPr>
              <w:pStyle w:val="Normal"/>
              <w:widowControl w:val="false"/>
              <w:ind w:left="0" w:right="0" w:hanging="0"/>
              <w:jc w:val="left"/>
              <w:rPr>
                <w:rFonts w:ascii="Liberation Serif" w:hAnsi="Liberation Serif"/>
                <w:b w:val="false"/>
                <w:i w:val="false"/>
                <w:i w:val="false"/>
                <w:caps w:val="false"/>
                <w:smallCaps w:val="false"/>
                <w:color w:val="1A1A1A"/>
                <w:spacing w:val="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1A1A1A"/>
                <w:spacing w:val="0"/>
                <w:sz w:val="24"/>
                <w:szCs w:val="24"/>
              </w:rPr>
              <w:t>на кладбищах Камышловского городского округа»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28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28" w:before="0" w:after="0"/>
              <w:contextualSpacing/>
              <w:jc w:val="both"/>
              <w:rPr>
                <w:rFonts w:ascii="Liberation Serif;Times New Roman" w:hAnsi="Liberation Serif;Times New Roman" w:eastAsia="Arial Unicode MS" w:cs="Liberation Serif;Times New Roman"/>
                <w:sz w:val="24"/>
                <w:szCs w:val="22"/>
                <w:lang w:eastAsia="ru-RU" w:bidi="ru-RU"/>
              </w:rPr>
            </w:pPr>
            <w:r>
              <w:rPr>
                <w:rFonts w:eastAsia="Arial Unicode MS" w:cs="Liberation Serif;Times New Roman" w:ascii="Liberation Serif;Times New Roman" w:hAnsi="Liberation Serif;Times New Roman"/>
                <w:sz w:val="24"/>
                <w:szCs w:val="22"/>
                <w:lang w:eastAsia="ru-RU" w:bidi="ru-RU"/>
              </w:rPr>
              <w:t xml:space="preserve">Обеспечение оказания услуг </w:t>
              <w:br/>
              <w:t>по организации похорон по принципу «одного окна» на основе конкуренции с предоставлением лицам, ответственным за организацию захоронения, полной информации о хозяйствующих субъектах, содержащейся реестрах хозяйствующих субъектов, имеющих право на оказание услуг по организации похорон, включая стоимость оказываемых хозяйствующими субъектами ритуальных услуг</w:t>
            </w:r>
          </w:p>
        </w:tc>
        <w:tc>
          <w:tcPr>
            <w:tcW w:w="34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наличие нормативного правового акта об организации оказания услуг по организации похорон по принципу «одного окна», процентов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28" w:before="0" w:after="0"/>
              <w:jc w:val="both"/>
              <w:rPr/>
            </w:pPr>
            <w:r>
              <w:rPr/>
              <w:t>0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bidi w:val="0"/>
        <w:spacing w:lineRule="auto" w:line="240" w:before="0" w:after="0"/>
        <w:ind w:left="0" w:right="0" w:firstLine="316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  <w:bookmarkStart w:id="2" w:name="__DdeLink__14490_14003321891"/>
      <w:bookmarkStart w:id="3" w:name="__DdeLink__14490_14003321891"/>
      <w:bookmarkEnd w:id="3"/>
    </w:p>
    <w:p>
      <w:pPr>
        <w:sectPr>
          <w:type w:val="nextPage"/>
          <w:pgSz w:orient="landscape" w:w="16838" w:h="11906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600" w:charSpace="32768"/>
        </w:sectPr>
        <w:pStyle w:val="Normal"/>
        <w:tabs>
          <w:tab w:val="clear" w:pos="709"/>
          <w:tab w:val="left" w:pos="2595" w:leader="none"/>
        </w:tabs>
        <w:bidi w:val="0"/>
        <w:jc w:val="left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ab/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eastAsia="Liberation Serif;Times New Roman" w:cs="Liberation Serif;Times New Roman" w:ascii="Liberation Serif;Times New Roman" w:hAnsi="Liberation Serif;Times New Roman"/>
          <w:b/>
          <w:bCs w:val="false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>Таблица 2</w:t>
      </w:r>
    </w:p>
    <w:p>
      <w:pPr>
        <w:pStyle w:val="Normal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sz w:val="28"/>
          <w:szCs w:val="28"/>
        </w:rPr>
      </w:pPr>
      <w:bookmarkStart w:id="4" w:name="__DdeLink__93767_1400332189"/>
      <w:bookmarkEnd w:id="4"/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 xml:space="preserve">Системные мероприятия, направленные на развитие конкурентной среды </w:t>
      </w:r>
    </w:p>
    <w:p>
      <w:pPr>
        <w:pStyle w:val="Normal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в Камышловском городском округе</w:t>
      </w:r>
    </w:p>
    <w:p>
      <w:pPr>
        <w:pStyle w:val="Normal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/>
          <w:sz w:val="24"/>
          <w:szCs w:val="24"/>
        </w:rPr>
      </w:r>
    </w:p>
    <w:p>
      <w:pPr>
        <w:pStyle w:val="Normal"/>
        <w:bidi w:val="0"/>
        <w:spacing w:lineRule="auto" w:line="19" w:before="0" w:after="0"/>
        <w:jc w:val="left"/>
        <w:rPr>
          <w:rFonts w:ascii="Liberation Serif;Times New Roman" w:hAnsi="Liberation Serif;Times New Roman"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</w:rPr>
        <w:t xml:space="preserve"> </w:t>
      </w:r>
    </w:p>
    <w:tbl>
      <w:tblPr>
        <w:tblW w:w="15765" w:type="dxa"/>
        <w:jc w:val="left"/>
        <w:tblInd w:w="-4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1"/>
        <w:gridCol w:w="3751"/>
        <w:gridCol w:w="3200"/>
        <w:gridCol w:w="1422"/>
        <w:gridCol w:w="2577"/>
      </w:tblGrid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Номер строки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25" w:leader="none"/>
              </w:tabs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Результат мероприятий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Отчет о исполнении мероприятий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за 1 полугодие 2023</w:t>
            </w:r>
          </w:p>
        </w:tc>
      </w:tr>
    </w:tbl>
    <w:p>
      <w:pPr>
        <w:pStyle w:val="Normal"/>
        <w:bidi w:val="0"/>
        <w:spacing w:lineRule="auto" w:line="4" w:before="0" w:after="0"/>
        <w:jc w:val="left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tbl>
      <w:tblPr>
        <w:tblW w:w="15765" w:type="dxa"/>
        <w:jc w:val="left"/>
        <w:tblInd w:w="-4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3829"/>
        <w:gridCol w:w="3751"/>
        <w:gridCol w:w="3285"/>
        <w:gridCol w:w="1334"/>
        <w:gridCol w:w="2580"/>
      </w:tblGrid>
      <w:tr>
        <w:trPr>
          <w:tblHeader w:val="true"/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6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>
        <w:trPr>
          <w:trHeight w:val="1360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trike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trike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Обеспечение прозрачности </w:t>
              <w:br/>
              <w:t>и доступности закупок товаров, работ, услуг, проводимых с использованием конкурентных способов определения поставщиков (подрядчиков, исполнителей), предусматривающих: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введение механизма оказания содействия участникам закупки </w:t>
              <w:br/>
              <w:t>по вопросам, связанным с получением электронной подписи, формированием заявок, а также правовым сопровождением при проведении закупок;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расширение участия субъектов МСП в закупках товаров, работ, услуг, проводимых с использованием конкурентных способов определения поставщиков (подрядчиков, исполнителей).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Создание условий, в соответствии </w:t>
              <w:br/>
              <w:t>с которыми хозяйствующие субъекты с муниципальным участием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Обеспечение участия необходимого числа участников конкурентных процедур определения поставщиков (подрядчиков, исполнителей) </w:t>
              <w:br/>
              <w:t xml:space="preserve">при осуществлении закупок </w:t>
              <w:br/>
              <w:t>для обеспечения муниципальных нужд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среднее число участников конкурентных процедур определения поставщиков (подрядчиков, исполнителей) </w:t>
              <w:br/>
              <w:t>при осуществлении закупок для обеспечения муниципальных нужд: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</w:t>
            </w:r>
            <w:r>
              <w:rPr>
                <w:rFonts w:eastAsia="Calibri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2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год – не менее </w:t>
              <w:br/>
              <w:t>3 участников;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2023 год – не менее </w:t>
              <w:br/>
              <w:t>3 частников;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2024 год – не менее</w:t>
              <w:br/>
              <w:t>3 частников;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2025 год – не менее</w:t>
              <w:br/>
              <w:t>3 частников.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 участника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Cs/>
                <w:sz w:val="24"/>
                <w:szCs w:val="24"/>
                <w:lang w:eastAsia="ru-RU"/>
              </w:rPr>
              <w:t>Устранение избыточного муниципального регулирования, снижение административных барьеров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Обеспечение наличия </w:t>
              <w:br/>
              <w:t>на территории Камышловского городского округа административных регламентов предоставления муниципальной услуги по выдаче разрешений на строительство, которые применимы в том числе для выдачи  разрешения на строительство для целей возведения (создания) антенно-мачтовых сооружений (объектов) для услуг связи, муниципальной услуги по выдаче разрешений на строительство и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наличие утвержденных административных регламентов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предоставления муниципальных услуг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Постановлением администрации Камышловского городского округа от 17.04.2020 года №256 утвержден типовой административный регламент предоставления муниципальной услуги «Выдача разрешений на строительство объектов капитального строительства» и 18.02.2020 года №100 утвержден типовой административный регламент предоставления муниципальной услуги «Выдача разрешений на ввод в эксплуатацию объектов капитального строительства»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Устранение избыточного регулирования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Обеспечение наличия </w:t>
              <w:br/>
              <w:t xml:space="preserve">в порядке проведения оценки регулирующего воздействия проектов нормативных правовых актов Камышловского городского округа и экспертизы нормативных правовых актов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Камышловского городского округа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, устанавливаемых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пунктов, предусматривающих анализ воздействия таких проектов актов на состояние конкуренции.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наличие в порядке проведения оценки регулирующего воздействия проектов нормативных правовых актов и экспертизы нормативных правовых актов муниципальных образований, устанавливаемых </w:t>
              <w:br/>
              <w:t xml:space="preserve">в соответствии </w:t>
              <w:br/>
              <w:t xml:space="preserve">с Федеральным законом </w:t>
              <w:br/>
              <w:t xml:space="preserve">от 6 октября 2003 года </w:t>
              <w:br/>
              <w:t>№ 131-ФЗ ««Об общих принципах организации местного самоуправления в Российской Федерации», пунктов, предусматривающих анализ воздействия таких проектов актов средней и высокой степени регулирующего воздействия на состояние конкуренции.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Постановлением администрации Камышловского городского округа от 16.02.2022 №131 утвержден «Порядок проведения оценки регулирующего воздействия проектов нормативных правовых актов и экспертизы нормативных правовых актов Камышловского городского округа», предусматривающий анализ воздействия таких проектов актов на состояние конкуренции.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ind w:left="-57" w:right="-57" w:hanging="0"/>
              <w:jc w:val="center"/>
              <w:textAlignment w:val="baseline"/>
              <w:rPr>
                <w:rFonts w:ascii="Liberation Serif;Times New Roman" w:hAnsi="Liberation Serif;Times New Roman" w:cs="Liberation Serif;Times New Roman"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конкуренцию, обеспечение доступа к информации о муниципальном имуществе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eastAsia="Liberation Serif;Times New Roman" w:cs="Liberation Serif;Times New Roman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Организация эффективного управления хозяйствующими субъектами с муниципальным участием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утверждение и реализация планового документа, направленного на эффективное управление муниципальными унитарными предприятиями, осуществляющими коммерческую деятельность, в котором содержатся в том числе показатели эффективности их деятельности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2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ежегодно утверждаемые значения показателей экономической эффективности деятельности муниципальных унитарных предприятий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cs="Liberation Serif" w:ascii="Liberation Serif" w:hAnsi="Liberation Serif"/>
              </w:rPr>
              <w:t>Постановлением главы Камышловского городского округа от 25.11.2016 года №1218 создана комиссия по рассмотрению результатов финансово – хозяйственной деятельности муниципальных унитарных предприятий Камышловского городского округа, обществ с ограниченной ответственностью и акционерных обществ, акции которых находятся в собственности Камышловского городского округа.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Заседания комиссии проходят ежеквартально, согласно утвержденного плана.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eastAsia="Liberation Serif;Times New Roman" w:cs="Liberation Serif;Times New Roman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утверждение и реализация программы приватизации муниципальных унитарных предприятий и пакетов акций акционерных обществ, находящихся в собственности муниципальных образований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2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ежегодно утверждаемая программа приватизации муниципальных унитарных предприятий и пакетов акций акционерных обществ, находящихся в собственности муниципальных образований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 администрации Камышловского городского округа разработан план мероприятий по реформированию муниципальных унитарных предприятий, расположенных на территории Камышловского городского округа. План направлен в Министерство по управлению государственным имуществом Свердловской области.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eastAsia="Liberation Serif;Times New Roman" w:cs="Liberation Serif;Times New Roman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Обеспечение публичности процедуры распоряжения имуществом хозяйствующих субъектов с муниципальным участием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МСП, имущества хозяйствующими субъектами, доля муниципального образования в которых составляет 50 и более процентов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2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отсутствие</w:t>
            </w:r>
            <w:bookmarkStart w:id="5" w:name="__DdeLink__92658_1400332189"/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 актов реагирования</w:t>
            </w:r>
            <w:bookmarkEnd w:id="5"/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  <w:bookmarkStart w:id="6" w:name="__DdeLink__93733_1400332189"/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антимонопольного орган</w:t>
            </w:r>
            <w:bookmarkEnd w:id="6"/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а, вынесенных по результатам проверок хозяйствующих субъектов, доля участия муниципального образования в которых составляет 50 и более процентов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2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акты реагирования антимонопольного органа  отсутствуют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eastAsia="Liberation Serif;Times New Roman" w:cs="Liberation Serif;Times New Roman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проведение контрольных мероприятий по проверке целевого использования объектов муниципального недвижимого имущества в социальной сфере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2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подготовлены заключения по итогам проверки целевого использования объектов муниципального недвижимого имущества в социальной сфере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both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Постановлением главы Камышловского городского округа от 10.02.2016 года № 149 утверждено «Положение о порядке организации и осуществлении контроля за сохранностью и использованием по назначению муниципального имущества Камышловского городского округа». Работа по осуществлению контроля проводится в плановом режиме.</w:t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Постановлением администрации Камышловского городского округа № 197 от 23.03.2020 г. утверждена методика оценки эффективности использования объектов недвижимого имущества, находящегося в муниципальной собственности Камышловского городского округа.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Ежегодно проводится документарная проверка, по итогам которой подготовлены заключения.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Создание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равных условий доступа </w:t>
              <w:br/>
              <w:t>к информации о муниципальном имуществе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2" w:before="0" w:after="0"/>
              <w:jc w:val="left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размещение информации </w:t>
              <w:br/>
              <w:t xml:space="preserve">о государственном имуществе Свердловской области, находящемся в собственности муниципальных образований, в том числе имуществе, включаемом в перечни для предоставления </w:t>
              <w:br/>
              <w:t xml:space="preserve">на льготных условиях субъектам МСП, о реализации такого имущества и предоставлении его </w:t>
              <w:br/>
              <w:t xml:space="preserve">во владение и (или) пользование, </w:t>
              <w:br/>
              <w:t xml:space="preserve">путем размещения указанной информации </w:t>
              <w:br/>
              <w:t xml:space="preserve">на официальном сайте Российской Федерации в сети «Интернет» </w:t>
              <w:br/>
              <w:t xml:space="preserve">для размещения информации </w:t>
              <w:br/>
              <w:t>о проведении торгов (</w:t>
            </w:r>
            <w:hyperlink r:id="rId6">
              <w:r>
                <w:rPr>
                  <w:rFonts w:eastAsia="Times New Roman" w:cs="Liberation Serif;Times New Roman" w:ascii="Liberation Serif;Times New Roman" w:hAnsi="Liberation Serif;Times New Roman"/>
                  <w:sz w:val="24"/>
                  <w:szCs w:val="24"/>
                </w:rPr>
                <w:t>www.torgi.gov.ru</w:t>
              </w:r>
            </w:hyperlink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) </w:t>
              <w:br/>
              <w:t>и на официальном сайте Камышловского городского округа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опубликование актуальной информация на официальном сайте Камышловского городского округа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Информация о проведении аукционов и конкурсов в отношении муниципального имущества размещается на официальном сайте Камышловского городского округа, на сайте www.torgi.gov.ru, в газете «Камышловские известия»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обеспечение опубликования </w:t>
              <w:br/>
              <w:t xml:space="preserve">и актуализации на официальном сайте Камышловского городского округа информации об объектах, находящихся в муниципальной собственности, включая сведения </w:t>
              <w:br/>
              <w:t xml:space="preserve">о наименованиях объектов, </w:t>
              <w:br/>
              <w:t>их местонахождении, характеристиках и целевом назначении, существующих ограничениях их использования и обременение правами третьих лиц (далее – объекты)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Опубликована информация об объектах на официальном сайте Камышловского городского округа, а также обеспечена ее ежеквартальная актуализация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актуальная информация об объектах муниципальной собственности размещается на официальных сайтах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Правительства Свердловской области и Камышловского городского округа.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определение состава имущества,находящемся в собственности Камышловского городского округа,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Сформирован перечень муниципального имущества,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2022-2023 годы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Style w:val="Style16"/>
                <w:rFonts w:eastAsia="Times New Roman" w:cs="Liberation Serif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Style16"/>
                <w:rFonts w:eastAsia="Times New Roman" w:cs="Liberation Serif" w:ascii="Liberation Serif" w:hAnsi="Liberation Serif"/>
                <w:sz w:val="24"/>
                <w:szCs w:val="24"/>
              </w:rPr>
              <w:t>объекты, находящиеся в собственности Камышловского городского округа и включенные в перечень, не предоставлялись.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Обеспечение приватизации либо перепрофилирования (изменение целевого назначения) имущества, находящегося в собственности Камышловского городского округа,не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Проведены торги по продаже или мероприятия по перепрофилированию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-113" w:right="0" w:hanging="0"/>
              <w:rPr>
                <w:rFonts w:ascii="Liberation Serif;Times New Roman" w:hAnsi="Liberation Serif;Times New Roman" w:eastAsia="Liberation Serif;Times New Roman" w:cs="Liberation Serif;Times New Roman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2023-2025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</w:rPr>
              <w:t>торги не проводились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7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sz w:val="24"/>
                <w:szCs w:val="24"/>
              </w:rPr>
              <w:t>Поддержка МСП и индивидуальной предпринимательской инициативы, развитие муниципально-частного партнерства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Развитие практики применения механизмов муниципально-частного партнерства, в том числе расширение практики заключения концессионных соглашений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Подготовка инвестиционных предложений с применением механизмов муниципально-частного партнерства, размещенных на официальном сайте РФ в сети «Интернет» для размещения информации о проведении торгов (www.torgi.gov.ru)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количество инвестиционных предложений с  применением механизмов муниципально-частного партнерства и посредством заключения концессионных соглашений (нарастающим итогом):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2022 год - не менее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 инвестиционного предложения;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2023 год - не менее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 инвестиционн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 xml:space="preserve">ого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предложени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я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2024 год - не менее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2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 инвестиционных предложений;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2025 год - не менее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3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 инвестиционных предложений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2022-2025 годы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перечень объектов, подлежащих заключению концессионных соглашений, размещен на сайте Камышловского городского округа.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</w:rPr>
              <w:t>Инвестиционных предложений не поступало.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28" w:before="0" w:after="0"/>
              <w:ind w:left="-1" w:right="-541" w:hanging="36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b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>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28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Выравнивание условий конкуренции как в рамках товарных рынков внутри Свердловской области (включая темпы роста цен), так и между субъектами Российской Федерации (включая темпы роста и уровни цен)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проведение мониторинга:</w:t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наличия (отсутствия) административных барьеров </w:t>
              <w:br/>
              <w:t>и оценки состояния конкуренции субъектами предпринимательской деятельности;</w:t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удовлетворенности потребителей качеством товаров, работ, услуг </w:t>
              <w:br/>
              <w:t>на товарных рынках и состоянием ценовой конкуренции;</w:t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</w:t>
              <w:br/>
              <w:t xml:space="preserve">и удобства получения) официальной информации о состоянии конкуренции на товарных рынках субъекта Российской Федерации </w:t>
              <w:br/>
              <w:t>и деятельности по содействию развитию конкуренции, размещаемой уполномоченным органом и администрацией Камышловского городского округа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предоставление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ежегодный отчет о результатах мониторинга направлен в Министерство инвестиций и развития Свердловской области в установленный срок .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28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проведение мониторинга деятельности хозяйствующих субъектов, доля участия муниципального образования в которых составляет 50 и более процентов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предоставление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ежегодный отчет о результатах мониторинга направлен в Министерство инвестиций и развития Свердловской области в установленный срок .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left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Проведение мониторингов: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удовлетворенности населения деятельностью в сфере финансовых услуг, осуществляемой </w:t>
              <w:br/>
              <w:t>на территории Свердловской области;</w:t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доступности для населения финансовых услуг, оказываемых на территории Свердловской области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предоставление ежегодного отчета о результатах мониторингов в Министерство инвестиций и развития Свердловской области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ежегодный отчет о результатах мониторинга направлен в Министерство инвестиций и развития Свердловской области в установленный срок .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7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lang w:eastAsia="ru-RU"/>
              </w:rPr>
              <w:t>Развитие торговой деятельности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28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Обеспечение увеличения количества нестационарных торговых объектов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Содействие развитию торговой сети в Камышловском городском округе в части наличия нестационарных торговых объектов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количество нестационарных торговых объектов и торговых мест под них увеличено не менее чем </w:t>
              <w:br/>
              <w:t>на 10% к 2025 году по отношению к 2020 году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2022-2025 годы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Увеличени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я нестационарных торговых объектов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по отношению к 2020 произошло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на 1 %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(в 2020 году количество нестационарных торговых объектов 51, в 2022 году 52,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в 2023 году 52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)</w:t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1260" w:leader="none"/>
        </w:tabs>
        <w:bidi w:val="0"/>
        <w:spacing w:before="0" w:after="160"/>
        <w:jc w:val="left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tabs>
          <w:tab w:val="clear" w:pos="709"/>
          <w:tab w:val="left" w:pos="1260" w:leader="none"/>
        </w:tabs>
        <w:bidi w:val="0"/>
        <w:spacing w:before="0" w:after="160"/>
        <w:jc w:val="left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tabs>
          <w:tab w:val="clear" w:pos="709"/>
          <w:tab w:val="left" w:pos="1260" w:leader="none"/>
        </w:tabs>
        <w:bidi w:val="0"/>
        <w:spacing w:before="0" w:after="160"/>
        <w:jc w:val="left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sectPr>
      <w:headerReference w:type="default" r:id="rId7"/>
      <w:headerReference w:type="first" r:id="rId8"/>
      <w:type w:val="nextPage"/>
      <w:pgSz w:orient="landscape" w:w="16838" w:h="11906"/>
      <w:pgMar w:left="1134" w:right="1134" w:gutter="0" w:header="708" w:top="851" w:footer="0" w:bottom="709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bidi w:val="0"/>
      <w:jc w:val="center"/>
      <w:rPr>
        <w:rFonts w:ascii="Liberation Serif;Times New Roman" w:hAnsi="Liberation Serif;Times New Roman" w:cs="Liberation Serif;Times New Roman"/>
        <w:sz w:val="28"/>
      </w:rPr>
    </w:pPr>
    <w:r>
      <w:rPr>
        <w:rFonts w:cs="Liberation Serif;Times New Roman" w:ascii="Liberation Serif;Times New Roman" w:hAnsi="Liberation Serif;Times New Roman"/>
        <w:sz w:val="28"/>
      </w:rPr>
      <w:fldChar w:fldCharType="begin"/>
    </w:r>
    <w:r>
      <w:rPr>
        <w:sz w:val="28"/>
        <w:rFonts w:cs="Liberation Serif;Times New Roman" w:ascii="Liberation Serif;Times New Roman" w:hAnsi="Liberation Serif;Times New Roman"/>
      </w:rPr>
      <w:instrText xml:space="preserve"> PAGE </w:instrText>
    </w:r>
    <w:r>
      <w:rPr>
        <w:sz w:val="28"/>
        <w:rFonts w:cs="Liberation Serif;Times New Roman" w:ascii="Liberation Serif;Times New Roman" w:hAnsi="Liberation Serif;Times New Roman"/>
      </w:rPr>
      <w:fldChar w:fldCharType="separate"/>
    </w:r>
    <w:r>
      <w:rPr>
        <w:sz w:val="28"/>
        <w:rFonts w:cs="Liberation Serif;Times New Roman" w:ascii="Liberation Serif;Times New Roman" w:hAnsi="Liberation Serif;Times New Roman"/>
      </w:rPr>
      <w:t>22</w:t>
    </w:r>
    <w:r>
      <w:rPr>
        <w:sz w:val="28"/>
        <w:rFonts w:cs="Liberation Serif;Times New Roman" w:ascii="Liberation Serif;Times New Roman" w:hAnsi="Liberation Serif;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bidi w:val="0"/>
      <w:jc w:val="center"/>
      <w:rPr>
        <w:rFonts w:ascii="Liberation Serif;Times New Roman" w:hAnsi="Liberation Serif;Times New Roman" w:cs="Liberation Serif;Times New Roman"/>
        <w:sz w:val="28"/>
        <w:szCs w:val="28"/>
      </w:rPr>
    </w:pPr>
    <w:r>
      <w:rPr>
        <w:rFonts w:cs="Liberation Serif;Times New Roman" w:ascii="Liberation Serif;Times New Roman" w:hAnsi="Liberation Serif;Times New Roman"/>
        <w:sz w:val="28"/>
        <w:szCs w:val="28"/>
      </w:rPr>
      <w:fldChar w:fldCharType="begin"/>
    </w:r>
    <w:r>
      <w:rPr>
        <w:sz w:val="28"/>
        <w:szCs w:val="28"/>
        <w:rFonts w:cs="Liberation Serif;Times New Roman" w:ascii="Liberation Serif;Times New Roman" w:hAnsi="Liberation Serif;Times New Roman"/>
      </w:rPr>
      <w:instrText xml:space="preserve"> PAGE </w:instrText>
    </w:r>
    <w:r>
      <w:rPr>
        <w:sz w:val="28"/>
        <w:szCs w:val="28"/>
        <w:rFonts w:cs="Liberation Serif;Times New Roman" w:ascii="Liberation Serif;Times New Roman" w:hAnsi="Liberation Serif;Times New Roman"/>
      </w:rPr>
      <w:fldChar w:fldCharType="separate"/>
    </w:r>
    <w:r>
      <w:rPr>
        <w:sz w:val="28"/>
        <w:szCs w:val="28"/>
        <w:rFonts w:cs="Liberation Serif;Times New Roman" w:ascii="Liberation Serif;Times New Roman" w:hAnsi="Liberation Serif;Times New Roman"/>
      </w:rPr>
      <w:t>13</w:t>
    </w:r>
    <w:r>
      <w:rPr>
        <w:sz w:val="28"/>
        <w:szCs w:val="28"/>
        <w:rFonts w:cs="Liberation Serif;Times New Roman" w:ascii="Liberation Serif;Times New Roman" w:hAnsi="Liberation Serif;Times New Roman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dstrike w:val="false"/>
        <w:strike w:val="false"/>
        <w:b w:val="false"/>
        <w:bCs w:val="fals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885" w:hanging="525"/>
      </w:pPr>
      <w:rPr>
        <w:dstrike w:val="false"/>
        <w:strike w:val="false"/>
        <w:b w:val="false"/>
        <w:bCs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dstrike w:val="false"/>
        <w:strike w:val="false"/>
        <w:b w:val="false"/>
        <w:bCs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dstrike w:val="false"/>
        <w:strike w:val="false"/>
        <w:b w:val="false"/>
        <w:bCs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dstrike w:val="false"/>
        <w:strike w:val="false"/>
        <w:b w:val="false"/>
        <w:bCs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dstrike w:val="false"/>
        <w:strike w:val="false"/>
        <w:b w:val="false"/>
        <w:bCs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dstrike w:val="false"/>
        <w:strike w:val="false"/>
        <w:b w:val="false"/>
        <w:bCs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dstrike w:val="false"/>
        <w:strike w:val="false"/>
        <w:b w:val="false"/>
        <w:bCs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dstrike w:val="false"/>
        <w:strike w:val="false"/>
        <w:b w:val="false"/>
        <w:bCs w:val="fals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WW8Num3z0">
    <w:name w:val="WW8Num3z0"/>
    <w:qFormat/>
    <w:rPr>
      <w:b w:val="false"/>
    </w:rPr>
  </w:style>
  <w:style w:type="character" w:styleId="WW8Num2z0">
    <w:name w:val="WW8Num2z0"/>
    <w:qFormat/>
    <w:rPr>
      <w:b w:val="false"/>
      <w:bCs w:val="false"/>
      <w:strike w:val="false"/>
      <w:dstrike w:val="false"/>
    </w:rPr>
  </w:style>
  <w:style w:type="character" w:styleId="-">
    <w:name w:val="Hyperlink"/>
    <w:rPr>
      <w:color w:val="0563C1"/>
      <w:u w:val="single"/>
    </w:rPr>
  </w:style>
  <w:style w:type="character" w:styleId="Style14">
    <w:name w:val="FollowedHyperlink"/>
    <w:rPr>
      <w:color w:val="954F72"/>
      <w:u w:val="single"/>
    </w:rPr>
  </w:style>
  <w:style w:type="character" w:styleId="Style15">
    <w:name w:val="Символ нумерации"/>
    <w:qFormat/>
    <w:rPr/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pPr>
      <w:spacing w:lineRule="auto" w:line="240" w:before="0" w:after="0"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orod-kamyshlov.ru/communal/buildingadvert/" TargetMode="External"/><Relationship Id="rId3" Type="http://schemas.openxmlformats.org/officeDocument/2006/relationships/hyperlink" Target="http://gorod-kamyshlov.ru/communal/buildingadvert/" TargetMode="External"/><Relationship Id="rId4" Type="http://schemas.openxmlformats.org/officeDocument/2006/relationships/hyperlink" Target="http://gorod-kamyshlov.ru/economy/consumerenterprises/" TargetMode="External"/><Relationship Id="rId5" Type="http://schemas.openxmlformats.org/officeDocument/2006/relationships/hyperlink" Target="http://gorod-kamyshlov.ru/economy/consumerenterprises/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328</TotalTime>
  <Application>LibreOffice/7.5.6.2$Linux_X86_64 LibreOffice_project/50$Build-2</Application>
  <AppVersion>15.0000</AppVersion>
  <Pages>22</Pages>
  <Words>4612</Words>
  <Characters>34985</Characters>
  <CharactersWithSpaces>39343</CharactersWithSpaces>
  <Paragraphs>500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2022-07-11T11:29:17Z</dcterms:created>
  <dc:creator/>
  <dc:description/>
  <dc:language>ru-RU</dc:language>
  <cp:lastModifiedBy/>
  <dcterms:modified xsi:type="dcterms:W3CDTF">2024-01-16T16:32:29Z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