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jc w:val="center"/>
        <w:rPr/>
      </w:pPr>
      <w:r>
        <w:rPr>
          <w:b/>
          <w:sz w:val="28"/>
          <w:szCs w:val="28"/>
        </w:rPr>
        <w:drawing>
          <wp:inline distT="0" distB="0" distL="0" distR="0">
            <wp:extent cx="394970" cy="5988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Times New Roman" w:cs="Liberation Serif" w:ascii="Liberation Serif" w:hAnsi="Liberation Serif"/>
          <w:sz w:val="28"/>
          <w:szCs w:val="28"/>
        </w:rPr>
        <w:t xml:space="preserve"> </w:t>
      </w:r>
    </w:p>
    <w:p>
      <w:pPr>
        <w:pStyle w:val="Style32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sz w:val="28"/>
          <w:szCs w:val="28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2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sz w:val="28"/>
          <w:szCs w:val="28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32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sz w:val="28"/>
          <w:szCs w:val="28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</w:rPr>
        <w:t>от 18.03.2022  № 2</w:t>
      </w:r>
      <w:r>
        <w:rPr>
          <w:rFonts w:eastAsia="Times New Roman" w:cs="Liberation Serif" w:ascii="Liberation Serif" w:hAnsi="Liberation Serif"/>
          <w:b/>
          <w:bCs/>
          <w:sz w:val="28"/>
          <w:szCs w:val="28"/>
        </w:rPr>
        <w:t>30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внесении изменений в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в состав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комиссии по предоставлению субсидии из бюджета Камышловского городского округа муниципальному унитарному предприятию «Теплоснабжающая организация», утвержденный постановлением администрации Камышловского городского округа от 20.08.2021 № 578 «Об утверждении Порядка предоставления субсидий из бюджета Камышловского городского округа муниципальному унитарному предприятию «Теплоснабжающая организация»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>
      <w:pPr>
        <w:pStyle w:val="Normal"/>
        <w:widowControl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Руководствуясь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highlight w:val="white"/>
          <w:u w:val="none"/>
        </w:rPr>
        <w:t xml:space="preserve">постановлением администрации Камышловского городского округа от 16.08.2019 № 742 «Об утверждении Положения о подготовке правовых актов администрации Камышловского городского округа», </w:t>
      </w:r>
      <w:r>
        <w:rPr>
          <w:rFonts w:ascii="Liberation Serif" w:hAnsi="Liberation Serif"/>
          <w:sz w:val="28"/>
          <w:szCs w:val="28"/>
        </w:rPr>
        <w:t xml:space="preserve">Уставом Камышловского городского округа, </w:t>
      </w:r>
      <w:r>
        <w:rPr>
          <w:rFonts w:ascii="Liberation Serif" w:hAnsi="Liberation Serif"/>
          <w:sz w:val="28"/>
          <w:szCs w:val="28"/>
        </w:rPr>
        <w:t>в связи с изменением  кадрово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hAnsi="Liberation Serif"/>
          <w:sz w:val="28"/>
          <w:szCs w:val="28"/>
        </w:rPr>
        <w:t xml:space="preserve"> состав</w:t>
      </w:r>
      <w:r>
        <w:rPr>
          <w:rFonts w:ascii="Liberation Serif" w:hAnsi="Liberation Serif"/>
          <w:sz w:val="28"/>
          <w:szCs w:val="28"/>
        </w:rPr>
        <w:t>а, администрация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0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</w:t>
      </w:r>
      <w:r>
        <w:rPr>
          <w:rFonts w:ascii="Liberation Serif" w:hAnsi="Liberation Serif"/>
          <w:b/>
          <w:sz w:val="28"/>
          <w:szCs w:val="28"/>
        </w:rPr>
        <w:t>ЕТ</w:t>
      </w:r>
      <w:r>
        <w:rPr>
          <w:rFonts w:ascii="Liberation Serif" w:hAnsi="Liberation Serif"/>
          <w:b/>
          <w:sz w:val="28"/>
          <w:szCs w:val="28"/>
        </w:rPr>
        <w:t>: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Внести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в состав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комиссии по предоставлению субсидии из бюджета Камышловского городского округа муниципальному унитарному предприятию «Теплоснабжающая организация», утвержденный постановлением администрации Камышловского городского округа от 20.08.2021 № 578 «Об утверждении Порядка предоставления субсидий из бюджета Камышловского городского округа муниципальному унитарному предприятию «Теплоснабжающая организация» 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следующие изменения: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сключить Бессонова Евгения Александровича, первого заместителя главы администрации Камышловского городского округа;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включить Мартьянова Константина Евгеньевича, первого заместителя главы администрации Камышловского городского округа.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Разместить</w:t>
      </w:r>
      <w:r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>оставляю за собой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Arial">
    <w:charset w:val="01"/>
    <w:family w:val="swiss"/>
    <w:pitch w:val="variable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Основной текст Знак"/>
    <w:basedOn w:val="Style13"/>
    <w:qFormat/>
    <w:rPr>
      <w:sz w:val="24"/>
      <w:szCs w:val="24"/>
      <w:lang w:val="ru-RU" w:bidi="ar-SA"/>
    </w:rPr>
  </w:style>
  <w:style w:type="character" w:styleId="2">
    <w:name w:val="Основной текст с отступом 2 Знак"/>
    <w:basedOn w:val="Style13"/>
    <w:qFormat/>
    <w:rPr>
      <w:sz w:val="24"/>
      <w:szCs w:val="24"/>
      <w:lang w:val="ru-RU" w:bidi="ar-SA"/>
    </w:rPr>
  </w:style>
  <w:style w:type="character" w:styleId="Style16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widowControl/>
      <w:autoSpaceDE w:val="true"/>
      <w:jc w:val="both"/>
    </w:pPr>
    <w:rPr>
      <w:sz w:val="24"/>
      <w:szCs w:val="24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 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>
    <w:name w:val="Основной текст 2"/>
    <w:basedOn w:val="Normal"/>
    <w:qFormat/>
    <w:pPr>
      <w:widowControl/>
      <w:autoSpaceDE w:val="true"/>
      <w:jc w:val="center"/>
    </w:pPr>
    <w:rPr>
      <w:sz w:val="24"/>
      <w:szCs w:val="24"/>
    </w:rPr>
  </w:style>
  <w:style w:type="paragraph" w:styleId="Style26">
    <w:name w:val="Body Text Indent"/>
    <w:basedOn w:val="Normal"/>
    <w:pPr>
      <w:spacing w:before="0" w:after="120"/>
      <w:ind w:left="283" w:right="0" w:hanging="0"/>
    </w:pPr>
    <w:rPr/>
  </w:style>
  <w:style w:type="paragraph" w:styleId="Style27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8">
    <w:name w:val="Обычный (веб)"/>
    <w:basedOn w:val="Normal"/>
    <w:qFormat/>
    <w:pPr>
      <w:widowControl/>
      <w:autoSpaceDE w:val="true"/>
      <w:spacing w:before="280" w:after="280"/>
    </w:pPr>
    <w:rPr>
      <w:sz w:val="24"/>
      <w:szCs w:val="24"/>
    </w:rPr>
  </w:style>
  <w:style w:type="paragraph" w:styleId="22">
    <w:name w:val="Основной текст с отступом 2"/>
    <w:basedOn w:val="Normal"/>
    <w:qFormat/>
    <w:pPr>
      <w:widowControl/>
      <w:autoSpaceDE w:val="true"/>
      <w:spacing w:lineRule="auto" w:line="480" w:before="0" w:after="120"/>
      <w:ind w:left="283" w:right="0" w:hanging="0"/>
    </w:pPr>
    <w:rPr>
      <w:sz w:val="24"/>
      <w:szCs w:val="24"/>
    </w:rPr>
  </w:style>
  <w:style w:type="paragraph" w:styleId="3">
    <w:name w:val="Основной текст с отступом 3"/>
    <w:basedOn w:val="Normal"/>
    <w:qFormat/>
    <w:pPr>
      <w:widowControl/>
      <w:autoSpaceDE w:val="true"/>
      <w:spacing w:before="0" w:after="120"/>
      <w:ind w:left="283" w:right="0" w:hanging="0"/>
    </w:pPr>
    <w:rPr>
      <w:sz w:val="16"/>
      <w:szCs w:val="16"/>
    </w:rPr>
  </w:style>
  <w:style w:type="paragraph" w:styleId="211">
    <w:name w:val="Основной текст 21"/>
    <w:basedOn w:val="Normal"/>
    <w:qFormat/>
    <w:pPr>
      <w:widowControl/>
      <w:suppressAutoHyphens w:val="true"/>
      <w:autoSpaceDE w:val="true"/>
    </w:pPr>
    <w:rPr>
      <w:sz w:val="28"/>
      <w:lang w:val="en-US"/>
    </w:rPr>
  </w:style>
  <w:style w:type="paragraph" w:styleId="31">
    <w:name w:val="Основной текст с отступом 31"/>
    <w:basedOn w:val="Normal"/>
    <w:qFormat/>
    <w:pPr>
      <w:widowControl/>
      <w:suppressAutoHyphens w:val="true"/>
      <w:autoSpaceDE w:val="true"/>
      <w:ind w:left="0" w:right="-902" w:firstLine="567"/>
      <w:jc w:val="both"/>
    </w:pPr>
    <w:rPr>
      <w:sz w:val="28"/>
    </w:rPr>
  </w:style>
  <w:style w:type="paragraph" w:styleId="311">
    <w:name w:val="Основной текст 31"/>
    <w:basedOn w:val="Normal"/>
    <w:qFormat/>
    <w:pPr>
      <w:widowControl/>
      <w:suppressAutoHyphens w:val="true"/>
      <w:autoSpaceDE w:val="true"/>
      <w:jc w:val="both"/>
    </w:pPr>
    <w:rPr>
      <w:sz w:val="28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textAlignment w:val="baseline"/>
    </w:pPr>
    <w:rPr>
      <w:rFonts w:ascii="PT Astra Serif" w:hAnsi="PT Astra Serif" w:eastAsia="Calibri" w:cs="Liberation Serif"/>
      <w:color w:val="auto"/>
      <w:kern w:val="2"/>
      <w:sz w:val="24"/>
      <w:szCs w:val="24"/>
      <w:lang w:val="ru-RU" w:eastAsia="hi-I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1009</TotalTime>
  <Application>LibreOffice/6.4.7.2$Linux_X86_64 LibreOffice_project/40$Build-2</Application>
  <Pages>1</Pages>
  <Words>199</Words>
  <Characters>1625</Characters>
  <CharactersWithSpaces>1865</CharactersWithSpaces>
  <Paragraphs>15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2019-06-24T14:29:00Z</dcterms:created>
  <dc:creator>kamgo@gov66.ru</dc:creator>
  <dc:description/>
  <cp:keywords/>
  <dc:language>ru-RU</dc:language>
  <cp:lastModifiedBy/>
  <cp:lastPrinted>2022-03-21T10:40:08Z</cp:lastPrinted>
  <dcterms:modified xsi:type="dcterms:W3CDTF">2022-03-21T10:40:14Z</dcterms:modified>
  <cp:revision>58</cp:revision>
  <dc:subject/>
  <dc:title>Приказ Ростехнадзора от 17.12.2013 N 613(ред. от 18.09.2018)"Об утверждении "Правил проведения технического диагностирования внутридомового и внутриквартирного газового оборудования"(Зарегистрировано в Минюсте России 18.04.2014 N 32028)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