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1" w:hanging="0"/>
        <w:jc w:val="center"/>
        <w:rPr/>
      </w:pPr>
      <w:r>
        <w:rPr>
          <w:rStyle w:val="Style11"/>
          <w:rFonts w:ascii="Liberation Serif" w:hAnsi="Liberation Serif"/>
          <w:i/>
          <w:iCs/>
          <w:sz w:val="28"/>
          <w:szCs w:val="28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2"/>
        <w:jc w:val="left"/>
        <w:rPr/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24.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808</w:t>
      </w:r>
      <w:r>
        <w:rPr>
          <w:rStyle w:val="Style11"/>
          <w:rFonts w:ascii="Liberation Serif" w:hAnsi="Liberation Serif"/>
          <w:b w:val="false"/>
        </w:rPr>
        <w:t xml:space="preserve">                                                                                                                         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/>
      </w:pPr>
      <w:bookmarkStart w:id="0" w:name="__DdeLink__269_2905068116"/>
      <w:r>
        <w:rPr>
          <w:rStyle w:val="Style11"/>
          <w:rFonts w:ascii="Liberation Serif" w:hAnsi="Liberation Serif"/>
          <w:b/>
          <w:sz w:val="28"/>
          <w:szCs w:val="28"/>
        </w:rPr>
        <w:t>Об утверждении Топливно-энергетического баланса</w:t>
      </w:r>
    </w:p>
    <w:p>
      <w:pPr>
        <w:pStyle w:val="Style18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Камышловского городского округа за 2019 год</w:t>
      </w:r>
      <w:bookmarkEnd w:id="0"/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85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Во исполнение Приказа Министерства энергетики Российской Федерации от 14 декабря 2011г. № 600 «Об утверждении порядка составления топливно-энергетических балансов субъектов Российской Федерации, муниципальных образований», в соответствии с пунктом 10 части 2 статьи 4 Федерального закона от 27 июля 2010г. №190-ФЗ «О теплоснабжении» и контроля за рациональным и эффективным использованием топливно-энергетических ресурсов, администрация Камышловского городского округа</w:t>
      </w:r>
    </w:p>
    <w:p>
      <w:pPr>
        <w:pStyle w:val="Style18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8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1.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Утвердить Топливно-энергетический баланс Камышловского городского округа за 2019 год (прилагается).</w:t>
      </w:r>
    </w:p>
    <w:p>
      <w:pPr>
        <w:pStyle w:val="Style18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8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5106" w:leader="none"/>
        </w:tabs>
        <w:suppressAutoHyphens w:val="true"/>
        <w:ind w:left="5046" w:right="0" w:hanging="0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УТВЕРЖДЕН </w:t>
      </w:r>
    </w:p>
    <w:p>
      <w:pPr>
        <w:pStyle w:val="Style18"/>
        <w:tabs>
          <w:tab w:val="clear" w:pos="708"/>
        </w:tabs>
        <w:suppressAutoHyphens w:val="true"/>
        <w:ind w:left="5102" w:right="0" w:hanging="0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24.11.2020 года № 808 </w:t>
      </w:r>
    </w:p>
    <w:p>
      <w:pPr>
        <w:pStyle w:val="Style18"/>
        <w:tabs>
          <w:tab w:val="clear" w:pos="708"/>
        </w:tabs>
        <w:suppressAutoHyphens w:val="true"/>
        <w:ind w:left="5102" w:right="0" w:hanging="0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«Об утверждении Топливно-энергетического баланса Камышловского городского округа за 2019 год»                                   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/>
      </w:pPr>
      <w:r>
        <w:rPr>
          <w:rStyle w:val="Style11"/>
          <w:rFonts w:ascii="Liberation Serif" w:hAnsi="Liberation Serif"/>
          <w:sz w:val="72"/>
          <w:szCs w:val="72"/>
        </w:rPr>
        <w:t>ТОПЛИВНО - ЭНЕРГЕТИЧЕСКИЙ БАЛАНС</w:t>
      </w:r>
    </w:p>
    <w:p>
      <w:pPr>
        <w:pStyle w:val="Style18"/>
        <w:jc w:val="center"/>
        <w:rPr/>
      </w:pPr>
      <w:r>
        <w:rPr>
          <w:rStyle w:val="Style11"/>
          <w:rFonts w:ascii="Liberation Serif" w:hAnsi="Liberation Serif"/>
          <w:sz w:val="72"/>
          <w:szCs w:val="72"/>
        </w:rPr>
        <w:t>КАМЫШЛОВСКОГО ГОРОДСКОГО ОКРУГА</w:t>
      </w:r>
    </w:p>
    <w:p>
      <w:pPr>
        <w:pStyle w:val="Style18"/>
        <w:jc w:val="center"/>
        <w:rPr/>
      </w:pPr>
      <w:r>
        <w:rPr>
          <w:rStyle w:val="Style11"/>
          <w:rFonts w:ascii="Liberation Serif" w:hAnsi="Liberation Serif"/>
          <w:sz w:val="72"/>
          <w:szCs w:val="72"/>
        </w:rPr>
        <w:t xml:space="preserve">ЗА </w:t>
      </w:r>
      <w:r>
        <w:rPr>
          <w:rStyle w:val="Style11"/>
          <w:rFonts w:ascii="Liberation Serif" w:hAnsi="Liberation Serif"/>
          <w:sz w:val="96"/>
          <w:szCs w:val="96"/>
        </w:rPr>
        <w:t>2019</w:t>
      </w:r>
      <w:r>
        <w:rPr>
          <w:rStyle w:val="Style11"/>
          <w:rFonts w:ascii="Liberation Serif" w:hAnsi="Liberation Serif"/>
          <w:sz w:val="72"/>
          <w:szCs w:val="72"/>
        </w:rPr>
        <w:t xml:space="preserve"> ГОД</w:t>
      </w:r>
    </w:p>
    <w:p>
      <w:pPr>
        <w:pStyle w:val="Style18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18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18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18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18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5"/>
        <w:keepNext w:val="true"/>
        <w:widowControl w:val="false"/>
        <w:numPr>
          <w:ilvl w:val="4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center"/>
        <w:rPr>
          <w:rStyle w:val="Style11"/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5"/>
        <w:widowControl w:val="false"/>
        <w:numPr>
          <w:ilvl w:val="4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center"/>
        <w:rPr>
          <w:rStyle w:val="Style11"/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5"/>
        <w:widowControl w:val="false"/>
        <w:numPr>
          <w:ilvl w:val="4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center"/>
        <w:rPr/>
      </w:pPr>
      <w:r>
        <w:rPr>
          <w:rStyle w:val="Style11"/>
          <w:rFonts w:ascii="Liberation Serif" w:hAnsi="Liberation Serif"/>
          <w:b w:val="false"/>
          <w:i w:val="false"/>
          <w:sz w:val="28"/>
          <w:szCs w:val="28"/>
        </w:rPr>
        <w:t>1.</w:t>
      </w:r>
      <w:r>
        <w:rPr>
          <w:rStyle w:val="Style11"/>
          <w:rFonts w:ascii="Liberation Serif" w:hAnsi="Liberation Serif"/>
          <w:b w:val="false"/>
          <w:i w:val="false"/>
          <w:sz w:val="32"/>
          <w:szCs w:val="32"/>
        </w:rPr>
        <w:t xml:space="preserve"> Общие сведения</w:t>
      </w:r>
    </w:p>
    <w:p>
      <w:pPr>
        <w:pStyle w:val="Style18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21"/>
        <w:rPr/>
      </w:pPr>
      <w:r>
        <w:rPr>
          <w:rStyle w:val="Style11"/>
          <w:rFonts w:ascii="Liberation Serif" w:hAnsi="Liberation Serif"/>
          <w:sz w:val="32"/>
          <w:szCs w:val="32"/>
        </w:rPr>
        <w:t>1.1. Общая характеристика Камышловского городского округа.</w:t>
      </w:r>
    </w:p>
    <w:p>
      <w:pPr>
        <w:pStyle w:val="Style18"/>
        <w:ind w:left="0" w:right="0" w:firstLine="90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Общая площадь территории - 5175 га. </w:t>
      </w:r>
    </w:p>
    <w:p>
      <w:pPr>
        <w:pStyle w:val="Style18"/>
        <w:ind w:left="0" w:right="0" w:firstLine="90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Население – 25,843 тыс.жителей. Из них в частном секторе проживает 20%, в благоустроенном жилищном фонде – 74,5% человек, в неблагоустроенном жилищном фонде – 5,5% человек.</w:t>
      </w:r>
    </w:p>
    <w:p>
      <w:pPr>
        <w:pStyle w:val="Style18"/>
        <w:ind w:left="0" w:right="0" w:firstLine="90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Камышловский городской округ относится к Восточному управленческому округу.</w:t>
      </w:r>
    </w:p>
    <w:p>
      <w:pPr>
        <w:pStyle w:val="Style18"/>
        <w:ind w:left="0" w:right="0" w:firstLine="90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Административный центр — г. Камышлов.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Город Камышлов – один из старейших городов Урала. Возникновение поселения Камышевская слобода на реке Пышма, при впадении в нее речки Камышенки, относится к 1668 году благодаря приказчику Пышминской слободы Семену Будакову. В 1687 произошло переименование в Камышловскую слободу.</w:t>
      </w:r>
    </w:p>
    <w:p>
      <w:pPr>
        <w:pStyle w:val="Style1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Когда через Слободу прошел Сибирский тракт - Екатеринбург-Тюмень, Слобода стала превращаться в довольно значительный населенный пункт, а в 1781 году была преобразована в город Камышлов и получила статус города Пермской губернии.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 1870 году в городе создается уездная земская Управа и город Камышлов становится уездным городом.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Указом Президиума Верховного Совета РСФСР от 22 февраля 1946 года город Камышлов был выделен из состава Камышловского района Свердловской области и отнесен к категории городов областного подчинения.</w:t>
      </w:r>
    </w:p>
    <w:p>
      <w:pPr>
        <w:pStyle w:val="ConsPlusNormal"/>
        <w:ind w:left="0" w:right="0" w:firstLine="540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В состав территории городского округа входят город Камышлов, а также в соответствии с генеральным планом городского округа территории, предназначенные для развития его социальной, транспортной и иной инфраструктуры.</w:t>
      </w:r>
    </w:p>
    <w:p>
      <w:pPr>
        <w:pStyle w:val="Style23"/>
        <w:shd w:val="clear" w:fill="FFFFFF"/>
        <w:spacing w:before="0" w:after="0"/>
        <w:ind w:left="0" w:right="0" w:firstLine="708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Глава городского округа является высшим должностным лицом городского округа и наделяется согласно Устава Камышловского городского округа собственными полномочиями по решению вопросов местного значения, а также глава городского округа исполняет полномочия главы администрации городского округа.</w:t>
      </w:r>
    </w:p>
    <w:p>
      <w:pPr>
        <w:pStyle w:val="Style14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Камышловский городской округ расположен в юго-восточной части Свердловской области, в зоне 3-часовой транспортной доступности от областного центра г. Екатеринбурга, занимает выгодное транспортно-географическое положение на железнодорожной магистрали и автодороге общегосударственного значения Екатеринбург-Тюмень, на пересечении Сибирского, Шадринского и Ирбитского трактов, обеспечивающих его внешние связи.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Камышловский городской округ входит в состав Восточного управленческого округа Свердловской области. На севере округ граничит с Галкинским сельским поселением, на западе с Обуховским сельским поселением, на северо-востоке с Восточным сельским поселением и с Зареченским сельским поселением на юго-востоке.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Город Камышлов расположен на левом берегу реки Пышма, на расстоянии 143 километра от областного центра – г. Екатеринбург.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Связь с г. Екатеринбург осуществляется асфальтированной дороге сообщением Екатеринбург-Тюмень, которая проходит севернее города и посредством железной дороги Камышлов-Екатеринбург и станции Камышлов.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Площадь земель в границах городского округа составляет 5406,7 гектара.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Камышлов отличается компактностью застройки, его историческое ядро сформировалось еще в XIX в. 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Город представляет собой компактное образование, хотя в планировочном отношении можно выделить следующие структурные зоны: Центральный район, Северный, Северо-восточный, Восточный, Закамышловский, который сложился из 3 сросшихся между собой населенных пунктов: Закамышловки, Барабы и Насоново.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Центральный жилой район расположен на территории между рекой Пышма и железнодорожной магистралью Свердловск – Тюмень. С запада ограничен рекой Камышловкой, с востока – подъездной железнодорожной веткой к группе юго-восточных предприятий.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Застройка района характеризуется наличием большого числа исторической застройки – 1-2-3-этажных домов, выполненных из красного кирпича.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Современная жилая застройка района выполнена 5-этажными домами. Усадебная одноэтажная застройка в основном некапитальная, занимает около 50 % территории района.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Территория Восточного района ограниченна: с запада подъездной железнодорожной веткой к кожевенному заводу, с севера железнодорожной магистралью Свердловск – Тюмень, с юга и востока лесным массивом.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Сибирский тракт (автодорога Свердловск – Тюмень) проходит по Центральному и Восточному районам по улицам Энгельса, Ленинградской, Куйбышева, Северной.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Застройка района представлена: одноэтажными усадебными, в основном некапитальными домами; кварталами 2-3-этажных жилых домов. В южной части района расположен микрорайон из 5-этажных жилых домов.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Районы Северный и Северо-восточный отделены от Центрального и Восточного районов отделены железнодорожной магистралью Свердловск – Тюмень. Между собой районы разделяет территория завода «Урализолятор», завод строительных материалов и изделий и территория карьера.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Застройка этих районов в основном одноэтажная усадебная. Имеются кварталы 2-этажных жилых домов, построенных в послевоенные, 50-е годы. 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Кроме того, и в том и в другом районе имеются 5-этажные жилые дома современной постройки.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Территория Закамышловского района расположена на правом низком берегу реки Камышловка. Разница в отметках с прилегающим Центральным районом составляет 10 метров.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Застройка поселков, составляющих район (Закамышловское, Бараба и Насоново) – одноэтажная усадебная. Исключением является один квартал 2-этажных капитальных жилых домов и несколько капитальных усадебных домов.</w:t>
      </w:r>
    </w:p>
    <w:p>
      <w:pPr>
        <w:pStyle w:val="Style14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2019 году введено 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4,3</w:t>
      </w:r>
      <w:r>
        <w:rPr>
          <w:rStyle w:val="Style11"/>
          <w:rFonts w:ascii="Liberation Serif" w:hAnsi="Liberation Serif"/>
          <w:sz w:val="28"/>
          <w:szCs w:val="28"/>
        </w:rPr>
        <w:t xml:space="preserve"> тыс.кв.м жилья.  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значимым предприятиям Камышловского городского округа относятся: «Камышловский электротехнический завод- филиал ОАО «ЭЛТЕЗА» - выпускает релейную аппаратуру и напольное оборудование железнодорожной автоматики, телемеханики и связи. ООО «НКГ-Проект» и ООО «К-777» заняты производством изделий из бетона для использования в строительстве. ООО «Урал Кожа» занимается дублением и выделкой кожи, выделкой и крашением меха. ООО «Уральская диатомитовая компания» выпускает прочую неметаллическую минеральную продукцию, ООО «Камышловский клеевой завод» - производством клея. 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городе работает 6 общеобразовательных школ и 10 учреждений дошкольного образования. Город Камышлов обладает широкой сетью учреждений культуры. Городская муниципальная библиотека располагает большим книжным фондом. История города отражена в экспонатах городского историко-краеведческого музея.  Работа центра культуры и досуга направлена на работу с молодежью, а для детей существуют Дом творчества, две школы искусств, художественная школа, детская спортивная школа, хореографическая школа.</w:t>
      </w:r>
    </w:p>
    <w:p>
      <w:pPr>
        <w:pStyle w:val="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Основные предприятия и организации, оказывающие коммунальные</w:t>
      </w:r>
    </w:p>
    <w:p>
      <w:pPr>
        <w:pStyle w:val="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услуги на территории Камышловского городского округа</w:t>
      </w:r>
    </w:p>
    <w:p>
      <w:pPr>
        <w:pStyle w:val="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1.1.Услуги теплоснабжения по состоянию на 01.01.2020 года оказывали:</w:t>
      </w:r>
    </w:p>
    <w:p>
      <w:pPr>
        <w:pStyle w:val="Style18"/>
        <w:numPr>
          <w:ilvl w:val="1"/>
          <w:numId w:val="3"/>
        </w:numPr>
        <w:ind w:left="0" w:right="0" w:firstLine="2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Муниципальное унитарное предприятие «Теплоснабжающая организация», г.Камышлов (далее МУП «ТСО»);</w:t>
      </w:r>
    </w:p>
    <w:p>
      <w:pPr>
        <w:pStyle w:val="Style18"/>
        <w:numPr>
          <w:ilvl w:val="1"/>
          <w:numId w:val="3"/>
        </w:numPr>
        <w:tabs>
          <w:tab w:val="left" w:pos="70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</w:t>
      </w:r>
      <w:r>
        <w:rPr>
          <w:rStyle w:val="Style11"/>
          <w:rFonts w:ascii="Liberation Serif" w:hAnsi="Liberation Serif"/>
          <w:sz w:val="28"/>
          <w:szCs w:val="28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 (далее ФГБУ «ЦЖКУ» Министерства обороны РФ);</w:t>
      </w:r>
    </w:p>
    <w:p>
      <w:pPr>
        <w:pStyle w:val="Style18"/>
        <w:numPr>
          <w:ilvl w:val="1"/>
          <w:numId w:val="3"/>
        </w:numPr>
        <w:tabs>
          <w:tab w:val="left" w:pos="70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>Открытое акционерное общество «Российские железные дороги», Свердловская дирекция по тепловодоснабжению – структурное подразделение Центральной дирекции по тепловодоснабжению – филиала ОАО «РЖД», г.Екатеринбург (далее ОАО «РЖД», Свердловская дирекция по тепловодоснабжению – структурное подразделение Центральной дирекции по тепловодоснабжению – филиала ОАО «РЖД»);</w:t>
      </w:r>
    </w:p>
    <w:p>
      <w:pPr>
        <w:pStyle w:val="Style18"/>
        <w:numPr>
          <w:ilvl w:val="1"/>
          <w:numId w:val="3"/>
        </w:numPr>
        <w:tabs>
          <w:tab w:val="left" w:pos="70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</w:t>
      </w:r>
      <w:r>
        <w:rPr>
          <w:rStyle w:val="Style11"/>
          <w:rFonts w:ascii="Liberation Serif" w:hAnsi="Liberation Serif"/>
          <w:sz w:val="28"/>
          <w:szCs w:val="28"/>
        </w:rPr>
        <w:t>Общество с ограниченной ответственностью «Русская Энергетика» (далее ООО «Русская Энергетика»);</w:t>
      </w:r>
    </w:p>
    <w:p>
      <w:pPr>
        <w:pStyle w:val="Style18"/>
        <w:numPr>
          <w:ilvl w:val="1"/>
          <w:numId w:val="3"/>
        </w:numPr>
        <w:tabs>
          <w:tab w:val="left" w:pos="567" w:leader="none"/>
          <w:tab w:val="left" w:pos="70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Общество с ограниченной ответственностью «СтройКонсалтинг» (далее ООО «СтройКонсалтинг»).</w:t>
      </w:r>
    </w:p>
    <w:p>
      <w:pPr>
        <w:pStyle w:val="Style1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</w:t>
      </w:r>
      <w:r>
        <w:rPr>
          <w:rStyle w:val="Style11"/>
          <w:rFonts w:ascii="Liberation Serif" w:hAnsi="Liberation Serif"/>
          <w:sz w:val="28"/>
          <w:szCs w:val="28"/>
        </w:rPr>
        <w:t>1.2. Услуги водоснабжения и водоотведения оказывает муниципальное унитарное предприятие «Водоканал Камышлов» (далее МУП «Водоканал Камышлов»).</w:t>
      </w:r>
    </w:p>
    <w:p>
      <w:pPr>
        <w:pStyle w:val="Style1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1"/>
          <w:rFonts w:ascii="Liberation Serif" w:hAnsi="Liberation Serif"/>
          <w:sz w:val="28"/>
          <w:szCs w:val="28"/>
        </w:rPr>
        <w:t>1.3. Услуги газоснабжения – акционерное общество «Газэкс» (далее КЭСК г.Камышлов АО «Газэкс»)</w:t>
      </w:r>
    </w:p>
    <w:p>
      <w:pPr>
        <w:pStyle w:val="Style1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1"/>
          <w:rFonts w:ascii="Liberation Serif" w:hAnsi="Liberation Serif"/>
          <w:sz w:val="28"/>
          <w:szCs w:val="28"/>
        </w:rPr>
        <w:t>1.4. Услуги электроснабжения:</w:t>
      </w:r>
    </w:p>
    <w:p>
      <w:pPr>
        <w:pStyle w:val="Style18"/>
        <w:numPr>
          <w:ilvl w:val="0"/>
          <w:numId w:val="4"/>
        </w:numPr>
        <w:tabs>
          <w:tab w:val="clear" w:pos="708"/>
          <w:tab w:val="left" w:pos="-180" w:leader="none"/>
          <w:tab w:val="left" w:pos="0" w:leader="none"/>
          <w:tab w:val="left" w:pos="540" w:leader="none"/>
          <w:tab w:val="left" w:pos="1152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 xml:space="preserve">Открытое акционерное общество «ЭнергосбыТ Плюс» (далее ОАО «ЭнергосбыТ Плюс»); </w:t>
      </w:r>
    </w:p>
    <w:p>
      <w:pPr>
        <w:pStyle w:val="Style18"/>
        <w:numPr>
          <w:ilvl w:val="0"/>
          <w:numId w:val="4"/>
        </w:numPr>
        <w:tabs>
          <w:tab w:val="clear" w:pos="708"/>
          <w:tab w:val="left" w:pos="540" w:leader="none"/>
          <w:tab w:val="left" w:pos="1152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>Акционерное общество «Облкоммунэнерго» (далее АО «Облкоммунэнерго»).</w:t>
      </w:r>
    </w:p>
    <w:p>
      <w:pPr>
        <w:pStyle w:val="Style14"/>
        <w:ind w:left="0" w:right="0" w:firstLine="90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4"/>
        <w:ind w:left="0" w:right="0" w:firstLine="90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Коммунальный комплекс Камышловского городского округа по состоянию на 01.01.2020 года включает в себя:</w:t>
      </w:r>
    </w:p>
    <w:p>
      <w:pPr>
        <w:pStyle w:val="Style18"/>
        <w:numPr>
          <w:ilvl w:val="0"/>
          <w:numId w:val="5"/>
        </w:numPr>
        <w:tabs>
          <w:tab w:val="clear" w:pos="708"/>
          <w:tab w:val="left" w:pos="1515" w:leader="none"/>
        </w:tabs>
        <w:ind w:left="540" w:right="0" w:hanging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котельные, отапливающие жилой фонд и объекты СКН       -  34 ед.;</w:t>
      </w:r>
    </w:p>
    <w:p>
      <w:pPr>
        <w:pStyle w:val="Style18"/>
        <w:tabs>
          <w:tab w:val="clear" w:pos="708"/>
          <w:tab w:val="left" w:pos="54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 числе муниципальные                                                    -  28 ед.;</w:t>
      </w:r>
    </w:p>
    <w:p>
      <w:pPr>
        <w:pStyle w:val="Style18"/>
        <w:numPr>
          <w:ilvl w:val="0"/>
          <w:numId w:val="6"/>
        </w:numPr>
        <w:tabs>
          <w:tab w:val="left" w:pos="540" w:leader="none"/>
          <w:tab w:val="left" w:pos="708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котельные, работающие: на газе                                             -  12 ед.;</w:t>
      </w:r>
    </w:p>
    <w:p>
      <w:pPr>
        <w:pStyle w:val="Style18"/>
        <w:tabs>
          <w:tab w:val="clear" w:pos="708"/>
          <w:tab w:val="left" w:pos="54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/>
          <w:sz w:val="28"/>
          <w:szCs w:val="28"/>
        </w:rPr>
        <w:t xml:space="preserve">на угле                                             -  22 ед.;                              </w:t>
      </w:r>
    </w:p>
    <w:p>
      <w:pPr>
        <w:pStyle w:val="Style18"/>
        <w:widowControl w:val="false"/>
        <w:numPr>
          <w:ilvl w:val="0"/>
          <w:numId w:val="6"/>
        </w:numPr>
        <w:tabs>
          <w:tab w:val="left" w:pos="540" w:leader="none"/>
          <w:tab w:val="left" w:pos="708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тепловые    сети                                                                         -  50,7 км;</w:t>
      </w:r>
    </w:p>
    <w:p>
      <w:pPr>
        <w:pStyle w:val="Style18"/>
        <w:tabs>
          <w:tab w:val="clear" w:pos="708"/>
          <w:tab w:val="left" w:pos="54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т.ч. муниципальные                                                               -  39,0 км;  </w:t>
      </w:r>
    </w:p>
    <w:p>
      <w:pPr>
        <w:pStyle w:val="Style18"/>
        <w:widowControl w:val="false"/>
        <w:numPr>
          <w:ilvl w:val="0"/>
          <w:numId w:val="7"/>
        </w:numPr>
        <w:tabs>
          <w:tab w:val="clear" w:pos="708"/>
          <w:tab w:val="left" w:pos="1260" w:leader="none"/>
        </w:tabs>
        <w:ind w:left="540" w:right="0" w:hanging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водопроводные (муниципальные)                                          -  72 км;</w:t>
      </w:r>
    </w:p>
    <w:p>
      <w:pPr>
        <w:pStyle w:val="Style18"/>
        <w:widowControl w:val="false"/>
        <w:numPr>
          <w:ilvl w:val="0"/>
          <w:numId w:val="7"/>
        </w:numPr>
        <w:tabs>
          <w:tab w:val="clear" w:pos="708"/>
          <w:tab w:val="left" w:pos="1260" w:leader="none"/>
          <w:tab w:val="left" w:pos="7538" w:leader="none"/>
        </w:tabs>
        <w:ind w:left="540" w:right="0" w:hanging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канализационные (муниципальные)                                      -  50,0 км;  </w:t>
      </w:r>
    </w:p>
    <w:p>
      <w:pPr>
        <w:pStyle w:val="Style18"/>
        <w:widowControl w:val="false"/>
        <w:numPr>
          <w:ilvl w:val="0"/>
          <w:numId w:val="7"/>
        </w:numPr>
        <w:tabs>
          <w:tab w:val="clear" w:pos="708"/>
          <w:tab w:val="left" w:pos="1260" w:leader="none"/>
        </w:tabs>
        <w:ind w:left="540" w:right="0" w:hanging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газопроводы                                                                               -  63,0 км;</w:t>
      </w:r>
    </w:p>
    <w:p>
      <w:pPr>
        <w:pStyle w:val="Style18"/>
        <w:widowControl w:val="false"/>
        <w:numPr>
          <w:ilvl w:val="0"/>
          <w:numId w:val="7"/>
        </w:numPr>
        <w:tabs>
          <w:tab w:val="clear" w:pos="708"/>
          <w:tab w:val="left" w:pos="1260" w:leader="none"/>
        </w:tabs>
        <w:ind w:left="540" w:right="0" w:hanging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электрические сети                                                                    -  193,6 км  </w:t>
      </w:r>
    </w:p>
    <w:p>
      <w:pPr>
        <w:pStyle w:val="Style18"/>
        <w:numPr>
          <w:ilvl w:val="0"/>
          <w:numId w:val="6"/>
        </w:numPr>
        <w:tabs>
          <w:tab w:val="left" w:pos="540" w:leader="none"/>
          <w:tab w:val="left" w:pos="708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Солодиловский и железнодорожный водозаборы, городские очистные сооружения.</w:t>
      </w:r>
    </w:p>
    <w:p>
      <w:pPr>
        <w:pStyle w:val="Style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Коммунальная инфраструктура имеет высокий уровень износа от 65% до 80%.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Система теплоснабжения: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Из 34 котельных, отапливающих жилой фонд и СКБ, 12 котельных работают на газе (35,3%), а 22 котельных работают на угле (64,7%). Котельные, работающие на газе отапливают 316,8 тыс.м2 жилищного фонда (84,8% от всего отапливаемого жилья), котельные работающие на угле отапливают 56,6 тыс. кв.м жилищного фонда (15,2%)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Основными поставщиками тепла в городе являются:</w:t>
      </w:r>
    </w:p>
    <w:p>
      <w:pPr>
        <w:pStyle w:val="Style18"/>
        <w:tabs>
          <w:tab w:val="clear" w:pos="708"/>
          <w:tab w:val="left" w:pos="851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1. МУП «ТСО», отапливающее 89,6 % жилищного фонда города. Данное предприятие имеет на обслуживании 23 котельных, из них 7 котельных, работающих на газе и 16 котельных, работающих на угле. Котельные, работающие на угле маломощны, с установленными котлами типа «Энергия-3», «Стальной», «НР-18», с низким КПД, устаревших по конструкции. Котельные с такими котлами не имеют систем водоподготовки, практически отсутствуют системы и средства автоматизации и другого оборудования. Тепловые сети имеют теплоизоляцию невысокого качества (минеральная вата), теплопотери через которую составляют от 15% до 40%.       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Требуется перевод угольных котельных на природный газ.</w:t>
      </w:r>
    </w:p>
    <w:p>
      <w:pPr>
        <w:pStyle w:val="Style18"/>
        <w:widowControl w:val="false"/>
        <w:numPr>
          <w:ilvl w:val="0"/>
          <w:numId w:val="3"/>
        </w:numPr>
        <w:tabs>
          <w:tab w:val="clear" w:pos="708"/>
          <w:tab w:val="left" w:pos="0" w:leader="none"/>
          <w:tab w:val="left" w:pos="36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ООО «Русская Энергетика» -  обслуживает 1 газовую котельную, отапливающие 6,4% жилищного фонда </w:t>
      </w:r>
    </w:p>
    <w:p>
      <w:pPr>
        <w:pStyle w:val="Style18"/>
        <w:widowControl w:val="false"/>
        <w:numPr>
          <w:ilvl w:val="0"/>
          <w:numId w:val="3"/>
        </w:numPr>
        <w:tabs>
          <w:tab w:val="clear" w:pos="708"/>
          <w:tab w:val="left" w:pos="0" w:leader="none"/>
          <w:tab w:val="left" w:pos="36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3 % жилищного фонда отапливаются от котельных ФГБУ «ЦЖКУ» Министерства обороны РФ (2 угольные котельные) и ОАО «РЖД», Свердловская дирекция по тепловодоснабжению - структурное подроазделение Центральной дирекции по тепловодоснабжению – филиала ОАО «РЖД» (1 угольная котельная), ООО «СтройКонсалтинг» (1 газовая котельная).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Система водоснабжения и водоотведения   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настоящее время услуги водоснабжения и водоотведения   оказывает МУП «Водоканал Камышлов».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>Хозпитьевое водоснабжение Камышловского городского округа обеспечивается Солодиловским и Кировским водозаборами.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Солодиловский водозабор и сети были введены в эксплуатацию в 1976 году, Кировский – 50-60 годах прошлого столетия. 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Солодиловский водозабор входят 6 артезианских скважин, из них 3 рабочих, 3 км подающего водопровода и водоочистная станция. В большинстве районов города отмечается отклонение от нормативного давления в системе водоснабжения. 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По химическому составу качество воды не соответствует СанПИНу «Питьевая вода» (повышенное содержание железа и кремния). 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Протяженность муниципальных водопроводных </w:t>
      </w:r>
      <w:r>
        <w:rPr>
          <w:rStyle w:val="Style11"/>
          <w:rFonts w:ascii="Liberation Serif" w:hAnsi="Liberation Serif"/>
          <w:sz w:val="28"/>
          <w:szCs w:val="28"/>
        </w:rPr>
        <w:t xml:space="preserve">сетей – 72 км. Износ сетей составляет от 60 до 80%. 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>Повышенное содержание железа в воде резко снижает эксплуатационный срок труб городских водопроводов.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Необходима реконструкция водоочистной станции Солодиловского водозабора и проведение работ по ремонту и замене водопроводных сетей. 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В 2019-2020г.г. за счет средств областного и местного бюджетов проводилась реконструкция водопроводных сетей ул.Механизаторов, общей протяженностью 2,4 км. 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Биологические очистные сооружения г.Камышлова были пущены в эксплуатацию в 1976 году. За весь период их эксплуатации существенных изменений в технологии очистки сточных вод не произошло. В то же время ввиду ужесточения требований к нормируемым параметрам очистки сточных вод очистные сооружения и применяемая на них технология морально и физически устарели. В связи с этим требуется строительство блока доочистки сточных вод и замена процесса обеззараживания сточных вод хлором на ультрафиолетовое облучение.</w:t>
      </w:r>
    </w:p>
    <w:p>
      <w:pPr>
        <w:pStyle w:val="Style18"/>
        <w:ind w:left="0" w:right="0" w:firstLine="3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>
      <w:pPr>
        <w:pStyle w:val="Style18"/>
        <w:ind w:left="0" w:right="227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Система электроснабжения:</w:t>
      </w:r>
    </w:p>
    <w:p>
      <w:pPr>
        <w:pStyle w:val="Style18"/>
        <w:ind w:left="0" w:right="227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Основная энергоснабжающая компания, которая на территории Камышловского городского округа обслуживает электрические сети, оборудование и передает электроэнергию до потребителя – АО «Облкоммунэнерго».</w:t>
      </w:r>
    </w:p>
    <w:p>
      <w:pPr>
        <w:pStyle w:val="Style18"/>
        <w:ind w:left="0" w:right="227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целью повышения энергетической эффективности системы электроснабжения города, а также сокращения потерь в электросетях, в следствии большого износа электрических сетей, необходима реконструкция и модернизация системы, включая сети и трансформаторные подстанции.</w:t>
      </w:r>
    </w:p>
    <w:p>
      <w:pPr>
        <w:pStyle w:val="Style18"/>
        <w:ind w:left="0" w:right="0" w:firstLine="3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Система газоснабжения: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Газификация природным газом г.Камышлова началась в 1999 году.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Проложено 63,0 км газопровода. 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Природный газ в город Камышлов поступает по газопроводу высокого давления от газораспределительной станции (ГРС)г. Сухой Лог до главного газораспределительного пункта – 1 (ГГРП-1) г. Камышлов. Пропускная способность газопровода с учетом выданных технических условий полностью загружена – 8500 м</w:t>
      </w:r>
      <w:r>
        <w:rPr>
          <w:rStyle w:val="Style11"/>
          <w:rFonts w:ascii="Liberation Serif" w:hAnsi="Liberation Serif"/>
          <w:position w:val="9"/>
          <w:sz w:val="28"/>
          <w:szCs w:val="28"/>
        </w:rPr>
        <w:t>3</w:t>
      </w:r>
      <w:r>
        <w:rPr>
          <w:rStyle w:val="Style11"/>
          <w:rFonts w:ascii="Liberation Serif" w:hAnsi="Liberation Serif"/>
          <w:sz w:val="28"/>
          <w:szCs w:val="28"/>
        </w:rPr>
        <w:t xml:space="preserve">/час. 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Отсутствие природного газа приостановило программу газификации города, в том числе перевод убыточных муниципальных угольных котельных (15ед.) на природный газ и задерживает строительство новых блочных газовых котельных.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Необходима реконструкция газопровода высокого давления от ГРС г. Сухой Лог до ГГРП-1 г. Камышлов Ду 200 мм. на Ду 400 мм., строительство дополнительного газопровода высокого давления от с. Первомайское, Пышминского района до г. Камышлов.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Строительство вышеуказанных газопроводов частично на ближайшие 3-4 года решит проблему газификации города Камышлова и Камышловского района, позволит снять проблемные вопросы теплоснабжения потребителей за счет модернизации убыточных   муниципальных угольных котельных (15ед.) и тепловых сетей, износ которых составляет 60-70%.</w:t>
      </w:r>
    </w:p>
    <w:p>
      <w:pPr>
        <w:pStyle w:val="Style18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 2011 году в рамках областной программы началось строительство газопровода Пышминский район, р.п. Пышма – Первомайский –  г. Камышлов (в рамках стратегии партии «Единая Россия», разработанной в 2008 году).  Кроме того, достигнута договоренность с АО «ГАЗЭКС» по реконструкции газопровода высокого давления от ГРС г. Сухой Лог до ГГРП-1 г. Камышлов диаметром 219 мм на газопровод диаметром 400 мм, что позволит увеличить поставку природного газа с 8,5 тыс. м</w:t>
      </w:r>
      <w:r>
        <w:rPr>
          <w:rStyle w:val="Style11"/>
          <w:rFonts w:ascii="Liberation Serif" w:hAnsi="Liberation Serif"/>
          <w:position w:val="9"/>
          <w:sz w:val="28"/>
          <w:szCs w:val="28"/>
        </w:rPr>
        <w:t>3</w:t>
      </w:r>
      <w:r>
        <w:rPr>
          <w:rStyle w:val="Style11"/>
          <w:rFonts w:ascii="Liberation Serif" w:hAnsi="Liberation Serif"/>
          <w:sz w:val="28"/>
          <w:szCs w:val="28"/>
        </w:rPr>
        <w:t xml:space="preserve"> в час до 17 тыс. м</w:t>
      </w:r>
      <w:r>
        <w:rPr>
          <w:rStyle w:val="Style11"/>
          <w:rFonts w:ascii="Liberation Serif" w:hAnsi="Liberation Serif"/>
          <w:position w:val="9"/>
          <w:sz w:val="28"/>
          <w:szCs w:val="28"/>
        </w:rPr>
        <w:t>3</w:t>
      </w:r>
      <w:r>
        <w:rPr>
          <w:rStyle w:val="Style11"/>
          <w:rFonts w:ascii="Liberation Serif" w:hAnsi="Liberation Serif"/>
          <w:sz w:val="28"/>
          <w:szCs w:val="28"/>
        </w:rPr>
        <w:t xml:space="preserve"> в час и закрыть потребности города и района в природном газе на ближайшее 3-4 года. 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2012-2013 годах разработаны дополнительно 5 схем газоснабжения районов Камышловского городского округа и согласованы с эксплуатационной организацией.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Камышловском городском округе разработана муниципальная программа «Развитие социально-экономического комплекса Камышловского городского округа до 2020 года» с подпрограммой «Развитие газификации в Камышловском городском округе».</w:t>
      </w:r>
    </w:p>
    <w:p>
      <w:pPr>
        <w:pStyle w:val="Style18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данной подпрограммой в 2013 году:</w:t>
      </w:r>
    </w:p>
    <w:p>
      <w:pPr>
        <w:pStyle w:val="Style18"/>
        <w:widowControl w:val="false"/>
        <w:numPr>
          <w:ilvl w:val="0"/>
          <w:numId w:val="6"/>
        </w:numPr>
        <w:tabs>
          <w:tab w:val="left" w:pos="284" w:leader="none"/>
          <w:tab w:val="left" w:pos="708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проведена экспертиза проекта «Расширение сети газоснабжения по ул.Железнодорожная, Леваневского, Куйбышева, Д.Бедного, Рабочая, пер.Тургенева г.Камышлова», реализацию данного проекта планируется осуществить в 2016 году;</w:t>
      </w:r>
    </w:p>
    <w:p>
      <w:pPr>
        <w:pStyle w:val="Style18"/>
        <w:widowControl w:val="false"/>
        <w:numPr>
          <w:ilvl w:val="0"/>
          <w:numId w:val="6"/>
        </w:numPr>
        <w:tabs>
          <w:tab w:val="left" w:pos="284" w:leader="none"/>
          <w:tab w:val="left" w:pos="708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2014-2016 годах за счет специальной надбавки к тарифу на транспортировку природного газа АО «ГАЗЭКС» планируется провести: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1. Частично работы по реконструкции газопровода от ГРС г. Сухой Лог до ГГРП-1 г. Камышлов в количестве более 14 км.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2. Закольцовка газопровода низкого давления в г.Камышлове:</w:t>
      </w:r>
    </w:p>
    <w:p>
      <w:pPr>
        <w:pStyle w:val="Style18"/>
        <w:widowControl w:val="false"/>
        <w:numPr>
          <w:ilvl w:val="0"/>
          <w:numId w:val="6"/>
        </w:numPr>
        <w:tabs>
          <w:tab w:val="clear" w:pos="708"/>
          <w:tab w:val="left" w:pos="-1452" w:leader="none"/>
          <w:tab w:val="left" w:pos="-1080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ул.М.Горького – ул.Жукова.</w:t>
      </w:r>
    </w:p>
    <w:p>
      <w:pPr>
        <w:pStyle w:val="Style18"/>
        <w:widowControl w:val="false"/>
        <w:numPr>
          <w:ilvl w:val="0"/>
          <w:numId w:val="8"/>
        </w:numPr>
        <w:tabs>
          <w:tab w:val="clear" w:pos="708"/>
          <w:tab w:val="left" w:pos="-1452" w:leader="none"/>
          <w:tab w:val="left" w:pos="-1080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ул.Советская – ул.К.Маркса.</w:t>
      </w:r>
    </w:p>
    <w:p>
      <w:pPr>
        <w:pStyle w:val="Style22"/>
        <w:numPr>
          <w:ilvl w:val="0"/>
          <w:numId w:val="9"/>
        </w:numPr>
        <w:tabs>
          <w:tab w:val="left" w:pos="-1800" w:leader="none"/>
          <w:tab w:val="left" w:pos="-720" w:leader="none"/>
        </w:tabs>
        <w:spacing w:before="0" w:after="0"/>
        <w:ind w:left="0" w:right="0" w:hanging="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Строительство газопровода низкого давления по пер. Строителей.</w:t>
      </w:r>
    </w:p>
    <w:p>
      <w:pPr>
        <w:pStyle w:val="Style22"/>
        <w:numPr>
          <w:ilvl w:val="0"/>
          <w:numId w:val="9"/>
        </w:numPr>
        <w:tabs>
          <w:tab w:val="left" w:pos="-1800" w:leader="none"/>
          <w:tab w:val="left" w:pos="-720" w:leader="none"/>
        </w:tabs>
        <w:spacing w:before="0" w:after="0"/>
        <w:ind w:left="0" w:right="0" w:hanging="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Перевод базы сжиженного газа на природный газ дом № 70 по ул. Ключевая.</w:t>
      </w:r>
    </w:p>
    <w:p>
      <w:pPr>
        <w:pStyle w:val="Style22"/>
        <w:numPr>
          <w:ilvl w:val="0"/>
          <w:numId w:val="9"/>
        </w:numPr>
        <w:tabs>
          <w:tab w:val="left" w:pos="-1800" w:leader="none"/>
          <w:tab w:val="left" w:pos="-720" w:leader="none"/>
        </w:tabs>
        <w:spacing w:before="0" w:after="0"/>
        <w:ind w:left="0" w:right="0" w:hanging="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Замена устаревшего ГГРП-1 г. Камышлов;</w:t>
      </w:r>
    </w:p>
    <w:p>
      <w:pPr>
        <w:pStyle w:val="Style22"/>
        <w:numPr>
          <w:ilvl w:val="0"/>
          <w:numId w:val="9"/>
        </w:numPr>
        <w:tabs>
          <w:tab w:val="left" w:pos="-1800" w:leader="none"/>
          <w:tab w:val="left" w:pos="-720" w:leader="none"/>
        </w:tabs>
        <w:spacing w:before="0" w:after="0"/>
        <w:ind w:left="0" w:right="0" w:hanging="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Реконструкция через реку «Пышма» газопровода высокого давления от ГГРП-1 г. Камышлов.</w:t>
      </w:r>
    </w:p>
    <w:p>
      <w:pPr>
        <w:pStyle w:val="Style18"/>
        <w:tabs>
          <w:tab w:val="clear" w:pos="708"/>
          <w:tab w:val="left" w:pos="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В 2014 году при поддержке Правительства Свердловской области была построена «Водогрейная газовая котельная, мощностью 7 МВт, с наружными инженерными сетями по адресу: Свердловская область, г.Камышлов, ул.Молодогвардейская 10-а». В 2016 году данная котельная была введена в эксплуатацию.</w:t>
      </w:r>
    </w:p>
    <w:p>
      <w:pPr>
        <w:pStyle w:val="Style18"/>
        <w:tabs>
          <w:tab w:val="clear" w:pos="708"/>
          <w:tab w:val="left" w:pos="1080" w:leader="none"/>
        </w:tabs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данной котельной отапливается 31 тыс. кв.м жилищного фонда - это более полутора тысяч человек, здания Камышловской центральной районной больницы, школа, детский сад и прочие потребители. </w:t>
      </w:r>
    </w:p>
    <w:p>
      <w:pPr>
        <w:pStyle w:val="Style18"/>
        <w:tabs>
          <w:tab w:val="clear" w:pos="708"/>
          <w:tab w:val="left" w:pos="1080" w:leader="none"/>
        </w:tabs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2016 году переведена на газ котельная МБОУ ДОД «Камышловская детская художественная школа».</w:t>
      </w:r>
    </w:p>
    <w:p>
      <w:pPr>
        <w:pStyle w:val="Style18"/>
        <w:tabs>
          <w:tab w:val="clear" w:pos="708"/>
          <w:tab w:val="left" w:pos="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В настоящее время администрацией Камышловского городского округа ведется работа:</w:t>
      </w:r>
    </w:p>
    <w:p>
      <w:pPr>
        <w:pStyle w:val="Style18"/>
        <w:widowControl w:val="false"/>
        <w:numPr>
          <w:ilvl w:val="0"/>
          <w:numId w:val="10"/>
        </w:numPr>
        <w:tabs>
          <w:tab w:val="clear" w:pos="708"/>
          <w:tab w:val="left" w:pos="0" w:leader="none"/>
          <w:tab w:val="left" w:pos="1080" w:leader="none"/>
        </w:tabs>
        <w:ind w:left="0" w:right="0" w:firstLine="4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корректировке схемы газоснабжения района «Насоново»;</w:t>
      </w:r>
    </w:p>
    <w:p>
      <w:pPr>
        <w:pStyle w:val="Style18"/>
        <w:widowControl w:val="false"/>
        <w:numPr>
          <w:ilvl w:val="0"/>
          <w:numId w:val="10"/>
        </w:numPr>
        <w:tabs>
          <w:tab w:val="clear" w:pos="708"/>
          <w:tab w:val="left" w:pos="0" w:leader="none"/>
          <w:tab w:val="left" w:pos="1080" w:leader="none"/>
        </w:tabs>
        <w:ind w:left="0" w:right="0" w:firstLine="4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корректировке общей схемы газоснабжения (газопроводы высокого давления) Камышловского городского округа.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В планах администрации Камышловского городского округа и в будущем продолжать работу в данном направлении. Планируется строительство еще 2 газовых котельных с привлечением инвесторов.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37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ТОПЛИВНО-ЭНЕРГЕТИЧЕСКИЙ БАЛАНС</w:t>
      </w:r>
    </w:p>
    <w:p>
      <w:pPr>
        <w:pStyle w:val="Style18"/>
        <w:tabs>
          <w:tab w:val="clear" w:pos="708"/>
          <w:tab w:val="left" w:pos="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Style18"/>
        <w:tabs>
          <w:tab w:val="clear" w:pos="708"/>
          <w:tab w:val="left" w:pos="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2019 ГОД</w:t>
      </w:r>
    </w:p>
    <w:p>
      <w:pPr>
        <w:pStyle w:val="Style18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Топливно-энергетический баланс Камышловского городского округа за 2019 год составлен в соответствии с Приказом Министерства энергетики Российской Федерации от 14 октября 2011 года № 600 «Об утверждении порядка составления топливно-энергетических балансов субъектов Российской Федерации, муниципальных образований». Он    содержит взаимосвязанные показатели количественного соответствия поставок энергетических ресурсов на территорию Камышловского городского округа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 </w:t>
      </w:r>
    </w:p>
    <w:p>
      <w:pPr>
        <w:pStyle w:val="Style18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Топливно-энергетический баланс Камышловского городского округа за 2019 год (далее – баланс) составлен на основе однопродуктового баланса энергетических ресурсов в форме таблицы, Приложение №1, объединяющей данные однопродуктовых энергетических ресурсов в единый баланс, отражающий указанные данные в единых энергетических единицах – единицах условного топлива (т.у.т.)</w:t>
      </w:r>
    </w:p>
    <w:p>
      <w:pPr>
        <w:pStyle w:val="Style18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Однопродуктовый баланс энергетических ресурсов Камышловского городского округа за 2019 год составлен в форме таблицы, Приложение №2, отражающей формирование отдельных видов энергетических ресурсов и их использование в процессе передачи и конечного потребления в натуральных единицах  </w:t>
      </w:r>
    </w:p>
    <w:p>
      <w:pPr>
        <w:pStyle w:val="Style18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топливно-энергетического баланса Камышловского городского округа (округа) за 2019 год.</w:t>
      </w:r>
    </w:p>
    <w:p>
      <w:pPr>
        <w:pStyle w:val="Style18"/>
        <w:tabs>
          <w:tab w:val="clear" w:pos="708"/>
          <w:tab w:val="left" w:pos="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(Приложение №1)</w:t>
      </w:r>
    </w:p>
    <w:p>
      <w:pPr>
        <w:pStyle w:val="Style18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«Уголь» -  включены данные об угле.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«Сырая нефть» -  на территории округа сырая нефть не используется.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«Нефтепродукты» - включены данные о дизельном топливе и автомобильном бензине.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«Природный газ» - включены данные о природном газе.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«Прочее твердое топливо» - включены данные о дровах, используемых для отопления.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«Гидроэнергия и НВИЭ» - на территории округа не используется электрическая энергия, произведенная на установках, использующих в качестве первичных ресурсов нетрадиционные энергетические ресурсы, в том числе на гидравлических, геотермических, солнечных, ветроэлектрических установках.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«Атомная энергия» - на территории округа не используется электрическая и тепловая энергия, произведенная на атомных электростанциях.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Графа баланса «Электрическая энергия» включены данные об электрической энергии, произведенной на электростанциях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Графа баланса «тепловая энергия» включены данные о тепловой энергии, произведенной котельными, расположенными на территории Камышловского городского округа.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Графа баланса «Всего» включены результаты суммирования данных по видам энергетических ресурсов, в столбцах 1-9.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Строки баланса разделены на три блока:</w:t>
      </w:r>
    </w:p>
    <w:p>
      <w:pPr>
        <w:pStyle w:val="Style18"/>
        <w:widowControl w:val="false"/>
        <w:numPr>
          <w:ilvl w:val="1"/>
          <w:numId w:val="11"/>
        </w:numPr>
        <w:tabs>
          <w:tab w:val="clear" w:pos="708"/>
          <w:tab w:val="left" w:pos="0" w:leader="none"/>
          <w:tab w:val="left" w:pos="1080" w:leader="none"/>
          <w:tab w:val="left" w:pos="1440" w:leader="none"/>
        </w:tabs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блок «Энергетические ресурсы» включены данные о производстве, ввозе и вывозе энергетических ресурсов на территории Камышловского городского округа и об изменении запасов;</w:t>
      </w:r>
    </w:p>
    <w:p>
      <w:pPr>
        <w:pStyle w:val="Style18"/>
        <w:widowControl w:val="false"/>
        <w:numPr>
          <w:ilvl w:val="1"/>
          <w:numId w:val="11"/>
        </w:numPr>
        <w:tabs>
          <w:tab w:val="clear" w:pos="708"/>
          <w:tab w:val="left" w:pos="0" w:leader="none"/>
          <w:tab w:val="left" w:pos="1080" w:leader="none"/>
          <w:tab w:val="left" w:pos="1440" w:leader="none"/>
        </w:tabs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блок «Преобразование энергетических ресурсов» включаются данные о преобразовании одних видов энергетических ресурсов в другие, о расходах энергетических ресурсов в процессе преобразования, на собственные нужды и данные о потерях энергетических ресурсов при их производстве и передаче;</w:t>
      </w:r>
    </w:p>
    <w:p>
      <w:pPr>
        <w:pStyle w:val="Style18"/>
        <w:widowControl w:val="false"/>
        <w:numPr>
          <w:ilvl w:val="1"/>
          <w:numId w:val="11"/>
        </w:numPr>
        <w:tabs>
          <w:tab w:val="clear" w:pos="708"/>
          <w:tab w:val="left" w:pos="0" w:leader="none"/>
          <w:tab w:val="left" w:pos="1080" w:leader="none"/>
          <w:tab w:val="left" w:pos="1440" w:leader="none"/>
        </w:tabs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блок «Конечное потребление энергетических ресурсов» включены данные о потреблении энергетических ресурсов конечными потребителями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«Производство энергетических ресурсов» учтены данные о количестве твердого топлива (дров) полученного из природных ресурсов, расположенных на территории округа;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«Ввоз» учтены данные о ввозе на территорию округа всех энергетических ресурсов, указанных в графах 1 - 4 и графе «Электрическая энергия»;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«Вывоз» - учитываются данные о количестве всех вывозимых энергетических ресурсов. С территории округа вывоз энергетических ресурсов не осуществляется.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строке баланса «Изменение запасов» учтены данные об изменении запаса угля.  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«Потребление первичной энергии» учтены результаты суммирования данных строк 1- 4.  В каждую графу включены данные о валовом потреблении первичной энергии и ее эквивалентов, исчисляемые как сумма показателей по строкам 1-4.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строке баланса «Статистическое расхождение» отражается разность между суммой показателей строки 5 и суммой показателей строк 7-12. 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«Производство электрической энергии» учитываются данные о расходе всех видов энергетических ресурсов, используемых для выработки электрической энергии, на основании данных однопродуктового баланса электрической энергии. На территории округа электрическая энергия не вырабатывается.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«Производство тепловой энергии» учтены данные о расходе всех видов энергетических ресурсов, в том числе электрической энергии, используемой для выработки тепловой энергии, на основе данных однопродуктового баланса тепловой энергии.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строке 8.2. учтены данные о всей тепловой энергии, выработанной на котельных в виде горячей воды и пара, включая производственные котельные.   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«Преобразование топлива» учитываются данные о расходе всех видов энергетических ресурсов, переработанных во вторичные энергетические ресурсы. На территории округа переработка энергетических ресурсов во вторичные энергетические ресурсы не осуществляется.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«Собственные нужды» учтены данные о расходе энергетических ресурсов (тепловой энергии) на собственные нужды котельных.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«Потери при передаче» учтены данные о потерях, возникших при передаче тепловой энергии в тепловых сетях.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«Конечное потребление энергетических ресурсов» указана сумма строк с 13 по 19.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«Промышленность» учтены данные о расходе энергетических ресурсов на выработку продукции.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«Строительство» учтены данные о потреблении энергии на строительство детского сада, двух жилых домов и индивидуального жилищного строительства.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В строке баланса «Транспорт и связь» указаны данные о потреблении дизельного топлива и автобензина транспортными организациями.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«Сфера услуг» учтены данные о потреблении энергетических ресурсов организациями сферы услуг.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«Население» учтены данные о потреблении энергетических ресурсов на отопление, горячее водоснабжение, электроснабжение, газоснабжение жилищного фонда.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строке баланса «Использование топливно-энергетических ресурсов в качестве сырья и на нетопливные нужды» -  учитываются данные о потреблении энергетических ресурсов в качестве сырья в химической или иной промышленности. На территории округа энергетические ресурсы в качестве сырья не используются.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Для пересчета топлива и энергии в тонны условного топлива единица натуральных показателей, в которых исчисляются энергетические ресурсы (1 тонна, тыс.куб.м, тыс.кВтч, Гкал) умножается на коэффициент пересчета в условное топливо исходя из фактической калорийности топлива. Коэффициенты пересчета в условное топливо приведены в приложении №3. 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72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Однопродуктовый баланс энергетических ресурсов Камышловского городского округа за 2019 год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72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(Приложение №2)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7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Однопродуктовый баланс энергетических ресурсов включает: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баланс угля;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баланс сырой нефти: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баланс нефтепродуктов;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баланс природного газа;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баланс прочего твердого топлива (дрова);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баланс электрической энергии;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баланс тепловой энергии.</w:t>
      </w:r>
    </w:p>
    <w:p>
      <w:pPr>
        <w:pStyle w:val="Style18"/>
        <w:widowControl w:val="false"/>
        <w:numPr>
          <w:ilvl w:val="0"/>
          <w:numId w:val="11"/>
        </w:numPr>
        <w:tabs>
          <w:tab w:val="clear" w:pos="708"/>
          <w:tab w:val="left" w:pos="-2160" w:leader="none"/>
          <w:tab w:val="left" w:pos="-1440" w:leader="none"/>
          <w:tab w:val="left" w:pos="-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Однопродуктовый баланс энергетических ресурсов разработан в натуральных единицах измерения для каждой группы энергетических ресурсов, указанных в пункте 31.</w:t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ind w:left="7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  <w:tab w:val="left" w:pos="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8"/>
        <w:b w:val="false"/>
        <w:szCs w:val="28"/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  <w:rFonts w:cs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3"/>
      <w:numFmt w:val="decimal"/>
      <w:lvlText w:val="%1."/>
      <w:lvlJc w:val="left"/>
      <w:pPr>
        <w:ind w:left="1080" w:hanging="360"/>
      </w:pPr>
      <w:rPr>
        <w:sz w:val="28"/>
        <w:b w:val="false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szCs w:val="28"/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  <w:rFonts w:cs="Symbol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8"/>
        <w:b w:val="false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bCs/>
    </w:rPr>
  </w:style>
  <w:style w:type="paragraph" w:styleId="2">
    <w:name w:val="Heading 2"/>
    <w:basedOn w:val="Style18"/>
    <w:next w:val="Style1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Style18"/>
    <w:next w:val="Style18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12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WWCharLFO1LVL1">
    <w:name w:val="WW_CharLFO1LVL1"/>
    <w:qFormat/>
    <w:rPr>
      <w:b w:val="false"/>
      <w:sz w:val="28"/>
      <w:szCs w:val="28"/>
    </w:rPr>
  </w:style>
  <w:style w:type="character" w:styleId="WWCharLFO1LVL2">
    <w:name w:val="WW_CharLFO1LVL2"/>
    <w:qFormat/>
    <w:rPr>
      <w:rFonts w:ascii="Symbol" w:hAnsi="Symbol" w:cs="Symbol"/>
      <w:sz w:val="28"/>
      <w:szCs w:val="28"/>
    </w:rPr>
  </w:style>
  <w:style w:type="character" w:styleId="WWCharLFO2LVL1">
    <w:name w:val="WW_CharLFO2LVL1"/>
    <w:qFormat/>
    <w:rPr>
      <w:rFonts w:ascii="Symbol" w:hAnsi="Symbol" w:cs="Symbol"/>
      <w:sz w:val="28"/>
      <w:szCs w:val="28"/>
    </w:rPr>
  </w:style>
  <w:style w:type="character" w:styleId="WWCharLFO3LVL1">
    <w:name w:val="WW_CharLFO3LVL1"/>
    <w:qFormat/>
    <w:rPr>
      <w:rFonts w:ascii="Symbol" w:hAnsi="Symbol" w:cs="Symbol"/>
      <w:sz w:val="28"/>
      <w:szCs w:val="28"/>
    </w:rPr>
  </w:style>
  <w:style w:type="character" w:styleId="WWCharLFO4LVL1">
    <w:name w:val="WW_CharLFO4LVL1"/>
    <w:qFormat/>
    <w:rPr>
      <w:rFonts w:ascii="Symbol" w:hAnsi="Symbol" w:cs="Symbol"/>
      <w:sz w:val="28"/>
      <w:szCs w:val="28"/>
    </w:rPr>
  </w:style>
  <w:style w:type="character" w:styleId="WWCharLFO5LVL1">
    <w:name w:val="WW_CharLFO5LVL1"/>
    <w:qFormat/>
    <w:rPr>
      <w:rFonts w:ascii="Symbol" w:hAnsi="Symbol" w:cs="Symbol"/>
      <w:sz w:val="28"/>
      <w:szCs w:val="28"/>
    </w:rPr>
  </w:style>
  <w:style w:type="character" w:styleId="WWCharLFO6LVL1">
    <w:name w:val="WW_CharLFO6LVL1"/>
    <w:qFormat/>
    <w:rPr>
      <w:rFonts w:ascii="Symbol" w:hAnsi="Symbol" w:cs="Symbol"/>
      <w:sz w:val="28"/>
      <w:szCs w:val="28"/>
    </w:rPr>
  </w:style>
  <w:style w:type="character" w:styleId="WWCharLFO7LVL1">
    <w:name w:val="WW_CharLFO7LVL1"/>
    <w:qFormat/>
    <w:rPr>
      <w:b w:val="false"/>
      <w:sz w:val="28"/>
      <w:szCs w:val="28"/>
    </w:rPr>
  </w:style>
  <w:style w:type="character" w:styleId="WWCharLFO8LVL1">
    <w:name w:val="WW_CharLFO8LVL1"/>
    <w:qFormat/>
    <w:rPr>
      <w:rFonts w:ascii="Symbol" w:hAnsi="Symbol" w:cs="Symbol"/>
      <w:sz w:val="28"/>
      <w:szCs w:val="28"/>
    </w:rPr>
  </w:style>
  <w:style w:type="character" w:styleId="WWCharLFO9LVL1">
    <w:name w:val="WW_CharLFO9LVL1"/>
    <w:qFormat/>
    <w:rPr>
      <w:b w:val="false"/>
      <w:sz w:val="28"/>
      <w:szCs w:val="28"/>
    </w:rPr>
  </w:style>
  <w:style w:type="character" w:styleId="WWCharLFO9LVL2">
    <w:name w:val="WW_CharLFO9LVL2"/>
    <w:qFormat/>
    <w:rPr>
      <w:rFonts w:ascii="Symbol" w:hAnsi="Symbol" w:cs="Symbol"/>
      <w:sz w:val="28"/>
      <w:szCs w:val="28"/>
    </w:rPr>
  </w:style>
  <w:style w:type="character" w:styleId="WWCharLFO9LVL3">
    <w:name w:val="WW_CharLFO9LVL3"/>
    <w:qFormat/>
    <w:rPr>
      <w:b w:val="false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4">
    <w:name w:val="Body Text"/>
    <w:basedOn w:val="Style18"/>
    <w:pPr>
      <w:suppressAutoHyphens w:val="true"/>
      <w:spacing w:lineRule="auto" w:line="276" w:before="0" w:after="140"/>
    </w:pPr>
    <w:rPr/>
  </w:style>
  <w:style w:type="paragraph" w:styleId="Style15">
    <w:name w:val="List"/>
    <w:basedOn w:val="Style14"/>
    <w:pPr>
      <w:suppressAutoHyphens w:val="true"/>
    </w:pPr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2">
    <w:name w:val="Заголовок1"/>
    <w:basedOn w:val="Style18"/>
    <w:next w:val="Style14"/>
    <w:qFormat/>
    <w:pPr>
      <w:suppressAutoHyphens w:val="true"/>
      <w:jc w:val="center"/>
    </w:pPr>
    <w:rPr>
      <w:b/>
      <w:bCs/>
    </w:rPr>
  </w:style>
  <w:style w:type="paragraph" w:styleId="Style19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13">
    <w:name w:val="Указатель1"/>
    <w:basedOn w:val="Style18"/>
    <w:qFormat/>
    <w:pPr>
      <w:suppressLineNumbers/>
      <w:suppressAutoHyphens w:val="true"/>
    </w:pPr>
    <w:rPr>
      <w:rFonts w:cs="Lucida Sans"/>
    </w:rPr>
  </w:style>
  <w:style w:type="paragraph" w:styleId="21">
    <w:name w:val="Основной текст 21"/>
    <w:basedOn w:val="Style18"/>
    <w:qFormat/>
    <w:pPr>
      <w:suppressAutoHyphens w:val="true"/>
      <w:jc w:val="both"/>
    </w:pPr>
    <w:rPr>
      <w:szCs w:val="20"/>
    </w:rPr>
  </w:style>
  <w:style w:type="paragraph" w:styleId="31">
    <w:name w:val="Основной текст 31"/>
    <w:basedOn w:val="Style18"/>
    <w:qFormat/>
    <w:pPr>
      <w:suppressAutoHyphens w:val="true"/>
      <w:jc w:val="center"/>
    </w:pPr>
    <w:rPr>
      <w:sz w:val="20"/>
      <w:szCs w:val="20"/>
    </w:rPr>
  </w:style>
  <w:style w:type="paragraph" w:styleId="Style20">
    <w:name w:val="Знак"/>
    <w:basedOn w:val="Style18"/>
    <w:qFormat/>
    <w:pPr>
      <w:suppressAutoHyphens w:val="true"/>
    </w:pPr>
    <w:rPr>
      <w:rFonts w:ascii="Verdana" w:hAnsi="Verdana" w:cs="Verdana"/>
      <w:sz w:val="20"/>
      <w:szCs w:val="20"/>
      <w:lang w:val="en-US"/>
    </w:rPr>
  </w:style>
  <w:style w:type="paragraph" w:styleId="Style21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2">
    <w:name w:val="Абзац списка"/>
    <w:basedOn w:val="Style18"/>
    <w:qFormat/>
    <w:pPr>
      <w:widowControl w:val="false"/>
      <w:tabs>
        <w:tab w:val="clear" w:pos="708"/>
      </w:tabs>
      <w:suppressAutoHyphens w:val="true"/>
      <w:spacing w:before="680" w:after="0"/>
      <w:ind w:left="720" w:right="200" w:hanging="0"/>
      <w:jc w:val="center"/>
    </w:pPr>
    <w:rPr>
      <w:b/>
      <w:bCs/>
    </w:rPr>
  </w:style>
  <w:style w:type="paragraph" w:styleId="Style23">
    <w:name w:val="Обычный (веб)"/>
    <w:basedOn w:val="Style18"/>
    <w:qFormat/>
    <w:pPr>
      <w:suppressAutoHyphens w:val="true"/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zh-CN" w:bidi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4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LibreOffice/6.3.4.2$Windows_X86_64 LibreOffice_project/60da17e045e08f1793c57c00ba83cdfce946d0aa</Application>
  <Pages>14</Pages>
  <Words>3092</Words>
  <Characters>21869</Characters>
  <CharactersWithSpaces>25816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2020-11-24T04:29:00Z</dcterms:created>
  <dc:creator>Архитектура</dc:creator>
  <dc:description/>
  <dc:language>ru-RU</dc:language>
  <cp:lastModifiedBy/>
  <cp:lastPrinted>2020-11-24T14:20:53Z</cp:lastPrinted>
  <dcterms:modified xsi:type="dcterms:W3CDTF">2020-11-25T15:16:39Z</dcterms:modified>
  <cp:revision>8</cp:revision>
  <dc:subject/>
  <dc:title>Герб МО</dc:title>
</cp:coreProperties>
</file>