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before="120" w:after="120"/>
        <w:jc w:val="center"/>
        <w:rPr/>
      </w:pPr>
      <w:r>
        <w:rPr>
          <w:rStyle w:val="Style12"/>
          <w:rFonts w:ascii="Liberation Serif" w:hAnsi="Liberation Serif"/>
        </w:rPr>
        <w:drawing>
          <wp:inline distT="0" distB="1270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jc w:val="center"/>
        <w:rPr/>
      </w:pPr>
      <w:r>
        <w:rPr>
          <w:rStyle w:val="Style12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>02.04.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2021 N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>22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>5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проведении месячника по санитарной очистке и благоустройству территории Камышловского городского округа в 2021 году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Style20"/>
        <w:tabs>
          <w:tab w:val="clear" w:pos="709"/>
          <w:tab w:val="left" w:pos="851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повышения уровня благоустройства, санитарного состояния территории Камышловского городского округа, руководствуясь «Генеральной схемой очистки территории Камышловского городского округа» утвержденную постановлением главы Камышловского городского округа от 27.02.2018 года № 186, в соответствии с «Правилами благоустройства, обеспечения санитарного содержания территории Камышловского городского округа», утверждёнными решением Думы Камышловского городского округа от 21.02.2018 № 225, Уставом Камышловского городского округа, администрация Камышловского городского округа</w:t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Провести: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Месячник по благоустройству и санитарной очистке территории Камышловского городского округа (далее – месячник) с 01 по 30 апреля 2021 года.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1.2. Общегородской субботник по санитарной очистке территории Камышловского городского округа, посвященный празднованию Дня Весны и труда и Дня Победы в Великой Отечественной Войне с 23 по 30 апреля 2021 года.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0"/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2.1. Состав штаба по организации проведения месячника по благоустройству и санитарной очистке территории Камышловского городского округа (далее – штаб) (Приложение № 1);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 Перечень автобусных остановок, закрепленных за предприятиями и учреждениями города Камышлов (Приложение № 2);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Перечень памятников, закрепленных за предприятиями и учреждениями города Камышлов (Приложение № 3);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Перечень улиц и территорий, закрепленных за предприятиями и организациями города Камышлов (Приложение № 4);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Перечень ответственных лиц администрации Камышловского городского округа (Приложение № 5).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0"/>
        <w:ind w:left="0" w:right="0" w:firstLine="567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 Поручить штабу: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3.1.  Привлекать к организации и проведению месячника организации всех форм собственности, а также учащихся, студентов, население.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3.2. Координировать работу по проведению месячника.</w:t>
      </w:r>
    </w:p>
    <w:p>
      <w:pPr>
        <w:pStyle w:val="Style20"/>
        <w:jc w:val="both"/>
        <w:rPr/>
      </w:pP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       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3.3. В период с 20 апреля по 10 мая 2021 года осуществлять еженедельное обследование по соблюдению </w:t>
      </w:r>
      <w:r>
        <w:rPr>
          <w:rStyle w:val="Style12"/>
          <w:rFonts w:ascii="Liberation Serif" w:hAnsi="Liberation Serif"/>
          <w:sz w:val="28"/>
          <w:szCs w:val="28"/>
        </w:rPr>
        <w:t>Правил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благоустройства, </w:t>
      </w:r>
      <w:r>
        <w:rPr>
          <w:rStyle w:val="Style12"/>
          <w:rFonts w:ascii="Liberation Serif" w:hAnsi="Liberation Serif"/>
          <w:sz w:val="28"/>
          <w:szCs w:val="28"/>
        </w:rPr>
        <w:t>обеспечения санитарного содержания территории Камышловского городского округа», утверждённых решением Думы Камышловского городского округа от 21.02.2018 № 225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Работу штаба начать с 15 апреля 2021 года, заседания штаба проводить еженедельно в период проведения месячника.</w:t>
      </w:r>
    </w:p>
    <w:p>
      <w:pPr>
        <w:pStyle w:val="Style2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 руководителям предприятий, организаций, учреждений города (всех форм собственности), индивидуальным предпринимателям, населению принять активное участие в проведении месячника, путем проведения субботника на собственных территориях, прилегающих территориях (до проезжей части дорог), а также территориях, закрепленных настоящим постановлением.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5. Рекомендовать управляющим компаниям (</w:t>
      </w:r>
      <w:r>
        <w:rPr>
          <w:rStyle w:val="Style12"/>
          <w:rFonts w:ascii="Liberation Serif" w:hAnsi="Liberation Serif"/>
          <w:sz w:val="28"/>
          <w:szCs w:val="28"/>
        </w:rPr>
        <w:t>общество с ограниченной ответственностью «Городская управляющая компания – Камышлов» Карелин С.Б., общество с ограниченной ответственностью «Эстра-УК» Карелин Б.И., общество с ограниченной ответственностью «Камышловская управляющая компания» Ахметова О.В.),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фонда: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5.1. 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мусор;</w:t>
      </w:r>
    </w:p>
    <w:p>
      <w:pPr>
        <w:pStyle w:val="Style20"/>
        <w:widowControl w:val="false"/>
        <w:tabs>
          <w:tab w:val="left" w:pos="709" w:leader="none"/>
        </w:tabs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5.2. в срок до 15 апреля 2021 года представить график проведения вывозки мусора с территорий жилых микрорайонов. График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http</w:t>
      </w:r>
      <w:r>
        <w:rPr>
          <w:rStyle w:val="Style12"/>
          <w:rFonts w:ascii="Liberation Serif" w:hAnsi="Liberation Serif"/>
          <w:sz w:val="28"/>
          <w:szCs w:val="28"/>
        </w:rPr>
        <w:t>\\: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gorod</w:t>
      </w:r>
      <w:r>
        <w:rPr>
          <w:rStyle w:val="Style12"/>
          <w:rFonts w:ascii="Liberation Serif" w:hAnsi="Liberation Serif"/>
          <w:sz w:val="28"/>
          <w:szCs w:val="28"/>
        </w:rPr>
        <w:t>-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kamyshlov</w:t>
      </w:r>
      <w:r>
        <w:rPr>
          <w:rStyle w:val="Style12"/>
          <w:rFonts w:ascii="Liberation Serif" w:hAnsi="Liberation Serif"/>
          <w:sz w:val="28"/>
          <w:szCs w:val="28"/>
        </w:rPr>
        <w:t>.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ru</w:t>
      </w:r>
      <w:r>
        <w:rPr>
          <w:rStyle w:val="Style12"/>
          <w:rFonts w:ascii="Liberation Serif" w:hAnsi="Liberation Serif"/>
          <w:sz w:val="28"/>
          <w:szCs w:val="28"/>
        </w:rPr>
        <w:t>;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5.3. представить в администрацию Камышловского городского округа список закрепленных приказом ответственных лиц – работников управляющих компаний, обслуживающих организаций за проведением месячника по благоустройству и санитарной очистке, субботника по жилым микрорайонам.</w:t>
      </w:r>
    </w:p>
    <w:p>
      <w:pPr>
        <w:pStyle w:val="Style20"/>
        <w:shd w:fill="FFFFFF" w:val="clear"/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  <w:highlight w:val="white"/>
        </w:rPr>
        <w:t>6. Первому заместителю главы администрации</w:t>
      </w:r>
      <w:r>
        <w:rPr>
          <w:rStyle w:val="Style12"/>
          <w:rFonts w:ascii="Liberation Serif" w:hAnsi="Liberation Serif"/>
          <w:sz w:val="28"/>
          <w:szCs w:val="28"/>
        </w:rPr>
        <w:t xml:space="preserve"> Камышловского городского округа Бессонову Е.А.:</w:t>
      </w:r>
    </w:p>
    <w:p>
      <w:pPr>
        <w:pStyle w:val="Style20"/>
        <w:tabs>
          <w:tab w:val="clear" w:pos="709"/>
          <w:tab w:val="left" w:pos="99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организовать работу с председателями уличных комитетов Камышловского городского округа;</w:t>
      </w:r>
    </w:p>
    <w:p>
      <w:pPr>
        <w:pStyle w:val="Style20"/>
        <w:tabs>
          <w:tab w:val="clear" w:pos="709"/>
          <w:tab w:val="left" w:pos="99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организовать работу с ответственными лицами администрации Камышловского городского округа и Думы Камышловского городского округа по закрепленным территориям;</w:t>
      </w:r>
    </w:p>
    <w:p>
      <w:pPr>
        <w:pStyle w:val="Style20"/>
        <w:tabs>
          <w:tab w:val="clear" w:pos="709"/>
          <w:tab w:val="left" w:pos="99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6.3. составить совместно с председателями уличных комитетов, управляющими компаниями график вывоза мусора. График представить на заседание штаба 15 апреля 2021 года.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7. Директору муниципального казенного учреждения «</w:t>
      </w:r>
      <w:r>
        <w:rPr>
          <w:rStyle w:val="Style12"/>
          <w:rFonts w:ascii="Liberation Serif" w:hAnsi="Liberation Serif"/>
          <w:color w:val="333333"/>
          <w:sz w:val="28"/>
          <w:szCs w:val="28"/>
        </w:rPr>
        <w:t>Центр городского обслуживания</w:t>
      </w:r>
      <w:r>
        <w:rPr>
          <w:rStyle w:val="Style12"/>
          <w:rFonts w:ascii="Liberation Serif" w:hAnsi="Liberation Serif"/>
          <w:sz w:val="28"/>
          <w:szCs w:val="28"/>
        </w:rPr>
        <w:t>» Трубину Д.В.: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7.1.  принять меры по обеспечению своевременной вывозки мусора после общегородского субботника. Принять меры для недопущения возгорания мусорных куч;</w:t>
      </w:r>
    </w:p>
    <w:p>
      <w:pPr>
        <w:pStyle w:val="Style20"/>
        <w:autoSpaceDE w:val="false"/>
        <w:ind w:left="0" w:right="0" w:firstLine="540"/>
        <w:jc w:val="both"/>
        <w:rPr/>
      </w:pP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7.2. обеспечить своевременную уборку территории объектов, расположенных на общественных территориях, территорию Центральной площади, центрального городского сквера, ул. К. Маркса до и после проведения праздничных мероприятий, посвященных Дню Весны и Труда и Дню Победы в Великой Отечественной Войне;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7.3. обеспечить выполнение работ по уборке территорий мест захоронения в срок до 07 мая 2021 года.</w:t>
      </w:r>
    </w:p>
    <w:p>
      <w:pPr>
        <w:pStyle w:val="Style20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8. Председателю комитета по управлению имуществом и земельными ресурсами администрации Камышловского городского округа Михайловой Е.В. организовать работу с собственниками торговых павильонов, с которыми заключены договоры на право размещения нестационарных торговых объектов, расположенных на остановочных комплексах в части исполнения договорных обязательств по благоустройству и санитарному содержанию объекта аренды.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9. Рекомендовать предприятиям, организациям, учреждениям всех форм собственности, индивидуальным предпринимателям собранный мусор вывозить за счет собственных средств.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10. Рекомендовать начальнику пожарной части - 18/6 государственного казенного пожарно–технического учреждения Свердловской области «Отряд противопожарной службы Свердловской области № 18» Губину А.А. обеспечить меры пожарной безопасности при проведении месячника по санитарной очистке и благоустройству территории Камышловского городского округа.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11. Начальнику отдела гражданской обороны и пожарной безопасности администрации Камышловского городского округа Удалову А.В. активизировать работу по пропаганде мероприятий пожарной безопасности в местных средства массовой информации.</w:t>
      </w:r>
    </w:p>
    <w:p>
      <w:pPr>
        <w:pStyle w:val="Style20"/>
        <w:ind w:left="0" w:right="-143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Рекомендовать главному редактору Автономной некоммерческой организации «Редакция «Камышловские известия» Озорнину С.В., директору общества с ограниченной ответственностью «Камышловское телевидение» Литвинчук Е.Н. обеспечить мониторинг прохождения месячника по санитарной очистке и благоустройству территории Камышловского городского округа.</w:t>
      </w:r>
    </w:p>
    <w:p>
      <w:pPr>
        <w:pStyle w:val="Style20"/>
        <w:widowControl w:val="false"/>
        <w:tabs>
          <w:tab w:val="left" w:pos="709" w:leader="none"/>
        </w:tabs>
        <w:ind w:left="0" w:right="0" w:firstLine="567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13. Данное постановление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округа.</w:t>
      </w:r>
    </w:p>
    <w:p>
      <w:pPr>
        <w:pStyle w:val="Style20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14. Контроль исполнения данного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2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02.04.2021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 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225</w:t>
            </w:r>
          </w:p>
        </w:tc>
      </w:tr>
    </w:tbl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СОСТАВ ШТАБА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ПО ОРГАНИЗАЦИИ И КОНТРОЛЮ ЗА ПРОВЕДЕНИЕМ МЕСЯЧНИКА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БЛАГОУСТРОЙСТВУ И САНИТАРНОЙ ОЧИСТКЕ ТЕРРИТОРИИ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штаба: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начальника штаба: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Бессонов Е.А., первый заместитель главы администрации Камышловского городского округа;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штаба: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Скубко Э.В., главный специалист отдела жилищно-коммунального и городского хозяйства администрации Камышловского городского округа.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штаба: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Н.В., начальник отдела экономики администрации Камышловского городского округа;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О.М.,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Михайлова Е.В., председатель комитета по управлению имуществом и земельными ресурсами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ascii="Liberation Serif" w:hAnsi="Liberation Serif"/>
          <w:sz w:val="28"/>
          <w:szCs w:val="28"/>
          <w:lang w:eastAsia="en-US"/>
        </w:rPr>
        <w:t xml:space="preserve">;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Лихачев Е.Э., ведущий специалист администрации Камышловского городского округа;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Удалов А.В.,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Трубин Д.В., директор муниципального казенного учреждения «</w:t>
      </w:r>
      <w:r>
        <w:rPr>
          <w:rFonts w:ascii="Liberation Serif" w:hAnsi="Liberation Serif"/>
          <w:color w:val="333333"/>
          <w:sz w:val="28"/>
          <w:szCs w:val="28"/>
        </w:rPr>
        <w:t>Центр городского обслуживания</w:t>
      </w:r>
      <w:r>
        <w:rPr>
          <w:rFonts w:ascii="Liberation Serif" w:hAnsi="Liberation Serif"/>
          <w:sz w:val="28"/>
          <w:szCs w:val="28"/>
        </w:rPr>
        <w:t>»;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Карелин С.Б., директор общества с ограниченной ответственностью «Городская управляющая компания – Камышлов»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Карелин Б.И., директор общества с ограниченной ответственностью «Эстра-УК»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Ахметова О.В., генеральный директор общества с ограниченной ответственностью «Камышловская управляющая компания»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Падерин Е.Ю., заместитель начальника полиции по охране общественного порядка межмуниципального отдела министерства внутренних дел России «Камышловский»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Старыгин О.А., начальник отделения надзорной деятельности и профилактической работы Камышловского ГО, МО Камышловский МР ГУ МЧС России по Свердловской области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Крутаков С.А., директор общества с ограниченной ответственностью «КамОЭкС»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Попов К.Н., директор муниципального унитарного предприятия «Теплоснабжающая организация»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Британов К.Г., конкурсный управляющий муниципального унитарного предприятия «Водоканал Камышлов» (по согласованию);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Клементьев А.Ю., руководитель ПО № 2 Камышловский РКЭС АО «Облкоммунэнерго»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Темирбаев Р.М., председатель совета предпринимателей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Автономной некоммерческой организации «Редакция «Камышловские известия» (по согласованию);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«Камышловское телевидение» (по согласованию);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Normal"/>
        <w:tabs>
          <w:tab w:val="clear" w:pos="709"/>
          <w:tab w:val="left" w:pos="142" w:leader="none"/>
        </w:tabs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Руководители предприятий и организаций (по согласованию).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02.04.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2021 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225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автобусных остановок, закрепленных за предприятиями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учреждениями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808"/>
        <w:gridCol w:w="798"/>
        <w:gridCol w:w="3118"/>
        <w:gridCol w:w="2325"/>
      </w:tblGrid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Название и адрес остановки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Руководитель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«Автовокзал»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 (четная сторона)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Шульгин Г.В.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Шульгин Г.В.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Ленина, 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Магеррамов Р.Г.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«Рабочая»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Куйбышева, 94-а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Магеррамов Р.Г.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Магеррамов Р.Г.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«Гуманитарно-технологический техникум»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Северная, 61-д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Бердышева Ю.С.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Бердышева Ю.С.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«Администрация»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Урицкого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Зверев А.В.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Зверев А.В.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«Поликлиника»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Куйбышева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ГБУЗ СО «Камышловская центральная районная больница»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Закачурина И.В.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«Урализолятор»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«Камышловский завод «Урализолятор»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Фролов Н.М.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«Общежитие»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Строителей (нечетная сторона)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Зорапетян Г.Ж.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Зорапетян Г.Ж.</w:t>
            </w:r>
          </w:p>
        </w:tc>
      </w:tr>
      <w:tr>
        <w:trPr/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«Загородная»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Загородная, 27-а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Индивидуальный предприниматель Якимова С.В.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Якимова С.В.</w:t>
            </w:r>
          </w:p>
        </w:tc>
      </w:tr>
    </w:tbl>
    <w:p>
      <w:pPr>
        <w:pStyle w:val="BodyText2"/>
        <w:spacing w:lineRule="auto" w:line="240" w:before="0" w:after="0"/>
        <w:jc w:val="right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Приложение № 3</w:t>
      </w:r>
    </w:p>
    <w:p>
      <w:pPr>
        <w:pStyle w:val="BodyText2"/>
        <w:spacing w:lineRule="auto" w:line="240" w:before="0" w:after="0"/>
        <w:ind w:left="5443" w:right="0" w:hanging="0"/>
        <w:jc w:val="left"/>
        <w:rPr>
          <w:rFonts w:ascii="Liberation Serif" w:hAnsi="Liberation Serif"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Cs w:val="28"/>
          <w:lang w:eastAsia="ru-RU"/>
        </w:rPr>
        <w:t>УТВЕРЖДЕН</w:t>
      </w:r>
    </w:p>
    <w:p>
      <w:pPr>
        <w:pStyle w:val="BodyText2"/>
        <w:spacing w:lineRule="auto" w:line="240" w:before="0" w:after="0"/>
        <w:ind w:left="5443" w:right="0" w:hanging="0"/>
        <w:jc w:val="left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постановлением администрации</w:t>
      </w:r>
    </w:p>
    <w:p>
      <w:pPr>
        <w:pStyle w:val="BodyText2"/>
        <w:spacing w:lineRule="auto" w:line="240" w:before="0" w:after="0"/>
        <w:ind w:left="5443" w:right="0" w:hanging="0"/>
        <w:jc w:val="left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Камышловского городского округа</w:t>
      </w:r>
    </w:p>
    <w:p>
      <w:pPr>
        <w:pStyle w:val="BodyText2"/>
        <w:spacing w:lineRule="auto" w:line="240" w:before="0" w:after="0"/>
        <w:ind w:left="5443" w:right="0" w:hanging="0"/>
        <w:jc w:val="left"/>
        <w:rPr/>
      </w:pPr>
      <w:r>
        <w:rPr>
          <w:rFonts w:eastAsia="Times New Roman" w:cs="Times New Roman" w:ascii="Liberation Serif" w:hAnsi="Liberation Serif"/>
          <w:szCs w:val="28"/>
          <w:lang w:eastAsia="ru-RU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02.04.</w:t>
      </w:r>
      <w:r>
        <w:rPr>
          <w:rFonts w:eastAsia="Times New Roman" w:cs="Times New Roman" w:ascii="Liberation Serif" w:hAnsi="Liberation Serif"/>
          <w:szCs w:val="28"/>
          <w:lang w:eastAsia="ru-RU"/>
        </w:rPr>
        <w:t xml:space="preserve">2021 №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225</w:t>
      </w:r>
    </w:p>
    <w:p>
      <w:pPr>
        <w:pStyle w:val="BodyText2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BodyText2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ПЕРЕЧЕНЬ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памятников, закрепленных за предприятиями и учреждениями Камышловского городского округа</w:t>
      </w:r>
    </w:p>
    <w:tbl>
      <w:tblPr>
        <w:tblW w:w="9889" w:type="dxa"/>
        <w:jc w:val="left"/>
        <w:tblInd w:w="-1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868"/>
        <w:gridCol w:w="2882"/>
        <w:gridCol w:w="3545"/>
      </w:tblGrid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Памятники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Месторасположение памятника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Ответственные за содержание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«В.И. Ленину»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Карла Маркса, 51-б (Центральная площадь)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Мемориальный комплекс «Аллея Славы»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Обелиск воинам эстонцам, погибшим в госпиталях Урала в 1941-1945 гг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Смирнова А.П.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Лемешева Я.П.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Могила Кузнецовой А.П.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основателю города Семену Будакову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Энгельса, 147-а (Покровский Собор)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Технический памятник (БМП на постаменте) «Памятник воинам Урала»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Черепанова (проходная воинской части №75485)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Приволжско – Уральский военный округ воинская часть 75485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«В честь 40-летия Победы 1941-1945гг»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Вокзальная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Автономное муниципальное учреждение культуры Камышловского городского округа «Центр культуры и досуга»;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погибшим коммунарам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Свердловская область, город Камышлов, улица Энгельса, 147-а (Покровский Собор)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highlight w:val="white"/>
              </w:rPr>
              <w:t>Государственное бюджетное образовательное учреждение профессионального образования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«Камышловское профессиональное училище-интернат для инвалидов»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«Героическим матросам с броненосца «Потемкин»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Фарфористов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«Камышловский завод «Урализолятор»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Стела «Памяти вечно молодых солдат и командиров Советской армии, умерших от ран и болезней в Камышловском военном госпитале в годы войны»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hd w:fill="FFFFFF" w:val="clear"/>
              <w:tabs>
                <w:tab w:val="clear" w:pos="709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Свердловская область, город Камышлов, улица Октябрьская, 1-а (кладбище)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1"/>
              <w:widowControl w:val="false"/>
              <w:numPr>
                <w:ilvl w:val="0"/>
                <w:numId w:val="2"/>
              </w:numPr>
              <w:shd w:fill="FFFFFF" w:val="clear"/>
              <w:tabs>
                <w:tab w:val="clear" w:pos="709"/>
                <w:tab w:val="left" w:pos="0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textAlignment w:val="baseline"/>
              <w:rPr/>
            </w:pPr>
            <w:r>
              <w:rPr>
                <w:rFonts w:ascii="Liberation Serif" w:hAnsi="Liberation Serif"/>
                <w:b w:val="false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b w:val="false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b w:val="false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Технический памятник (БМП) и памятный знак (столб)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«Памятник воинам-интернационалистам»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Свердлова (сквер возле здания администрации)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Общественная организация «Совет ветеранов локальных войн»;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Стела «Памятник воинам камыщловцам, безвестно погибшим в годы Второй Мировой войны»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(столб)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«Пограничникам г. Камышлова и района, служившим на границе и выполнявшим интернациональный долг в «горячих точках»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«Павшим и живым, воевавшим и воюющим»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Памятный знак (камень) «На память живущим – в память о павших воинах внутренних войск Урала»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Карла Маркса, 37-а (Центральный городской сквер)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«Павшим в боях за Родину»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станция «Камышлов» (территория пункта подмены локомотивных бригад)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2"/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Cs/>
                <w:color w:val="666666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666666"/>
                <w:sz w:val="28"/>
                <w:szCs w:val="28"/>
              </w:rPr>
              <w:t>Камышловская дистанция пути-структурное подразделение Свердловской железной дороги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Памятник «Погибшим в борьбе за Советскую власть в 1918-1919гг»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Свердловская область, город Камышлов, улица Северная (автобусная остановка «26 магазин»)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w="11906" w:h="16838"/>
          <w:pgMar w:left="1701" w:right="567" w:header="1134" w:top="1648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540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4</w:t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1"/>
        <w:gridCol w:w="4847"/>
      </w:tblGrid>
      <w:tr>
        <w:trPr/>
        <w:tc>
          <w:tcPr>
            <w:tcW w:w="4791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</w:r>
          </w:p>
        </w:tc>
        <w:tc>
          <w:tcPr>
            <w:tcW w:w="4847" w:type="dxa"/>
            <w:tcBorders/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Cs w:val="28"/>
                <w:lang w:eastAsia="ru-RU"/>
              </w:rPr>
              <w:t>УТВЕРЖДЕН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02.04.</w:t>
            </w:r>
            <w:r>
              <w:rPr>
                <w:rFonts w:eastAsia="Times New Roman" w:cs="Times New Roman" w:ascii="Liberation Serif" w:hAnsi="Liberation Serif"/>
                <w:szCs w:val="28"/>
                <w:lang w:eastAsia="ru-RU"/>
              </w:rPr>
              <w:t xml:space="preserve">2021 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225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улиц и территорий, закрепленных за предприятиями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организациями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680"/>
        <w:gridCol w:w="3704"/>
      </w:tblGrid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предприятий, организаций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Закрепленные территории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Предприятия, организации, учреждения города всех форм собственности, юридические лица, физические лица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Собственные территории, прилегающие территории в границах собственных территорий до проезжей части дорог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Дополнительно закрепленные территории: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highlight w:val="white"/>
              </w:rPr>
              <w:t>Государственное бюджетное образовательное учреждение профессионального образования Свердловской области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«Камышловское профессиональное училище – интернат для инвалидов»»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 Покровского собора</w:t>
            </w:r>
          </w:p>
        </w:tc>
      </w:tr>
      <w:tr>
        <w:trPr>
          <w:trHeight w:val="981" w:hRule="atLeast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1» Камышловского городского округа имени Героя Советского Союза Бориса Самуиловича Семёнова;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58»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Куйбышева, от ул. Гагарина до жилого дома по ул. Куйбышева, д.25-в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6»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Сквер по ул. Фарфористов </w:t>
            </w:r>
          </w:p>
        </w:tc>
      </w:tr>
      <w:tr>
        <w:trPr>
          <w:trHeight w:val="694" w:hRule="atLeast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3»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Свердлова от ул. Гагарина до Центра культуры и досуга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«Школа № 7»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Акционерное общество «Облкоммунэнерго»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Охранные зоны объектов электросетевого хозяйства</w:t>
            </w:r>
          </w:p>
        </w:tc>
      </w:tr>
      <w:tr>
        <w:trPr>
          <w:trHeight w:val="1878" w:hRule="atLeast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2"/>
              <w:spacing w:lineRule="auto" w:line="240" w:before="0" w:after="0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color w:val="auto"/>
                <w:sz w:val="28"/>
                <w:szCs w:val="28"/>
              </w:rPr>
              <w:t>Дистанция пути Камышловское структурное подразделение Свердловская железная дорога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Санитарная зона железной дороги в границах г. Камышлова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Liberation Serif" w:hAnsi="Liberation Serif"/>
                <w:color w:val="313131"/>
                <w:spacing w:val="2"/>
                <w:sz w:val="28"/>
                <w:szCs w:val="28"/>
                <w:highlight w:val="white"/>
              </w:rPr>
              <w:t>Государственное бюджетное образовательное учреждение среднего профессионального образования Свердловской области</w:t>
            </w:r>
            <w:r>
              <w:rPr>
                <w:rFonts w:ascii="Liberation Serif" w:hAnsi="Liberation Serif"/>
                <w:i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«Камышловский педагогический колледж»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Маяковского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ответственностью «Блиц»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Свердлова – Маяковского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Открытое акционерное общество «Объединенные электротехнические заводы Открытое акционерное общество «ЭЛТЕЗА» филиал «Камышловский электротехнический завод»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Фарфористов от перекидного пешеходного моста до проходной завода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общество с ограниченной ответственность «Камышловский завод «Урализолятор»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Фарфористов от территории завода до перекидного пешеходного моста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Общество с ограниченной ответственностью «Камышловский клей»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Территория от проходной завода до ул. Северной, от ул. Первомайской до ул. Дзержинского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К. Маркса, Центральная площадь, аллея от ул. Ленина до дома № 56 по ул. К. Маркса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ул. Свердлова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«Лицей № 5» Камышловского городского округа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Собственная территория, прилегающие территории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2.16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color w:val="333333"/>
                <w:sz w:val="28"/>
                <w:szCs w:val="28"/>
              </w:rPr>
              <w:t>Центр городского обслуживания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Сквер по ул. Куйбышева от автовокзала до территории муниципального учреждения культуры «Историко-краеведческий музей»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BodyText2"/>
        <w:spacing w:lineRule="auto" w:line="240" w:before="0" w:after="0"/>
        <w:jc w:val="right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Приложение № 5</w:t>
      </w:r>
    </w:p>
    <w:p>
      <w:pPr>
        <w:pStyle w:val="BodyText2"/>
        <w:spacing w:lineRule="auto" w:line="240" w:before="0" w:after="0"/>
        <w:ind w:left="5216" w:right="0" w:hanging="0"/>
        <w:jc w:val="left"/>
        <w:rPr>
          <w:rFonts w:ascii="Liberation Serif" w:hAnsi="Liberation Serif"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Cs w:val="28"/>
          <w:lang w:eastAsia="ru-RU"/>
        </w:rPr>
        <w:t>УТВЕРЖДЕН</w:t>
      </w:r>
    </w:p>
    <w:p>
      <w:pPr>
        <w:pStyle w:val="BodyText2"/>
        <w:spacing w:lineRule="auto" w:line="240" w:before="0" w:after="0"/>
        <w:ind w:left="5216" w:right="0" w:hanging="0"/>
        <w:jc w:val="left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постановлением администрации</w:t>
      </w:r>
    </w:p>
    <w:p>
      <w:pPr>
        <w:pStyle w:val="BodyText2"/>
        <w:spacing w:lineRule="auto" w:line="240" w:before="0" w:after="0"/>
        <w:ind w:left="5216" w:right="0" w:hanging="0"/>
        <w:jc w:val="left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Камышловского городского округа</w:t>
      </w:r>
    </w:p>
    <w:p>
      <w:pPr>
        <w:pStyle w:val="BodyText2"/>
        <w:spacing w:lineRule="auto" w:line="240" w:before="0" w:after="0"/>
        <w:ind w:left="5216" w:right="0" w:hanging="0"/>
        <w:jc w:val="left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02.04.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2021 №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225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ответственных лиц администрации Камышловского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Думы Камышловского городского округа, осуществляющих контроль за уборкой территорий соответствующих уличных комитетов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22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60"/>
        <w:gridCol w:w="2521"/>
        <w:gridCol w:w="6641"/>
      </w:tblGrid>
      <w:tr>
        <w:trPr>
          <w:trHeight w:val="581" w:hRule="atLeast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Ответственные лица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Номера уличных комитетов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Бессонов Е.А.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1,2,3,4,5,6,7,8,9,10,11,12,13,14,15,16,17,18,19,20,21, 22,23,24,25,26,27,28,29,30,31,32,33,34,35,36,37,38,39,40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Цибуленко О.С.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Пьянкова Т.В.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Хапочкина О.А.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Шваб И.А.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Ракульцева Ю.А.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Сенцова Е.В.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Власова А.Е.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Михайлова Е.В.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Панова Е.А.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Ачкасова К.А.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Потапова И.Д.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Магомедова А.А.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Гиндер С.Н.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Несговорова В.В.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Чикунова Т.А.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</w:tr>
      <w:tr>
        <w:trPr>
          <w:trHeight w:val="51" w:hRule="atLeast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Нифонтова Т.В.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О.А.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Романюк Н.Б.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Карелина О.А.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Толщин В.М.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Удалов А.В.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Ульянов В.Е.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Рой Е.А.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Пульников Д.А.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Кузнецова О.М.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Н.Н.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Клементьева И.В.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Скубко Э.В.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Гуляев В.Ж.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Лихачев Е.Э.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Еремян Ю.Г.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Солдатов А.Г. 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Чулошникова А.С.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Шукшина И.Б.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Елагина Т.В.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Усова О.А.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Лавренюк Н.А.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Клементьева М.В.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46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Макарова Н.Б.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Сажаева Н.Н.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учреждений образования и культуры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Закачурина И.В.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ГБУЗ СО «Камышловская ЦРБ»</w:t>
            </w:r>
          </w:p>
        </w:tc>
      </w:tr>
      <w:tr>
        <w:trPr>
          <w:trHeight w:val="305" w:hRule="atLeast"/>
        </w:trPr>
        <w:tc>
          <w:tcPr>
            <w:tcW w:w="4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Акимова Н.В.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 уборкой собственных и прилегающих территорий юридических лиц и предпринимателей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sectPr>
      <w:headerReference w:type="default" r:id="rId9"/>
      <w:headerReference w:type="first" r:id="rId10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Arial">
    <w:charset w:val="cc"/>
    <w:family w:val="swiss"/>
    <w:pitch w:val="variable"/>
  </w:font>
  <w:font w:name="Cambria">
    <w:charset w:val="cc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mbria" w:hAnsi="Cambria" w:eastAsia="Tahoma" w:cs="Arial"/>
      <w:color w:val="365F91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>
    <w:name w:val="Основной текст 2 Знак"/>
    <w:basedOn w:val="Style12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Текст выноски Знак"/>
    <w:basedOn w:val="Style12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Pagenumber">
    <w:name w:val="page numbe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22">
    <w:name w:val="Основной текст 2"/>
    <w:basedOn w:val="Style20"/>
    <w:qFormat/>
    <w:pPr>
      <w:suppressAutoHyphens w:val="true"/>
      <w:jc w:val="both"/>
    </w:pPr>
    <w:rPr>
      <w:sz w:val="28"/>
    </w:rPr>
  </w:style>
  <w:style w:type="paragraph" w:styleId="12">
    <w:name w:val="1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Footer"/>
    <w:basedOn w:val="Style2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одержимое врезки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8">
    <w:name w:val="List"/>
    <w:basedOn w:val="Style19"/>
    <w:pPr/>
    <w:rPr>
      <w:rFonts w:ascii="Times New Roman" w:hAnsi="Times New Roman" w:cs="Arial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17</Pages>
  <Words>2383</Words>
  <CharactersWithSpaces>20243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2019-04-02T10:09:00Z</dcterms:created>
  <dc:creator>Семёнова Лариса</dc:creator>
  <dc:description/>
  <dc:language>ru-RU</dc:language>
  <cp:lastModifiedBy/>
  <cp:lastPrinted>2021-04-02T11:20:27Z</cp:lastPrinted>
  <dcterms:modified xsi:type="dcterms:W3CDTF">2021-04-02T11:28:35Z</dcterms:modified>
  <cp:revision>10</cp:revision>
  <dc:subject/>
  <dc:title/>
</cp:coreProperties>
</file>