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7" t="-63" r="-9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bidi w:val="0"/>
        <w:spacing w:lineRule="auto" w:line="240" w:before="0" w:after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8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jc w:val="left"/>
        <w:rPr/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от 0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2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.10.2020 N 66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6</w:t>
      </w:r>
    </w:p>
    <w:p>
      <w:pPr>
        <w:pStyle w:val="Normal"/>
        <w:widowControl w:val="false"/>
        <w:jc w:val="center"/>
        <w:rPr>
          <w:rStyle w:val="Style14"/>
          <w:rFonts w:ascii="Liberation Serif;Times New Roman" w:hAnsi="Liberation Serif;Times New Roman" w:eastAsia="Times New Roman" w:cs="Liberation Serif;Times New Roman"/>
          <w:b/>
          <w:b/>
          <w:bCs w:val="false"/>
          <w:i w:val="false"/>
          <w:i w:val="false"/>
          <w:iCs w:val="false"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jc w:val="center"/>
        <w:rPr/>
      </w:pPr>
      <w:bookmarkStart w:id="0" w:name="__DdeLink__16890_2898358442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</w:t>
      </w:r>
    </w:p>
    <w:p>
      <w:pPr>
        <w:pStyle w:val="Normal"/>
        <w:widowControl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от 12 ноября 2013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2008 (с изменениями внесенными постановлениями главы Камышловского городского округа  от 22.09.2020 № 623, от 05.08.2020 года №512, от 30.06.2020 года № 437, от 24.04.2020 года № 275, от 13.04.2020 года № 248,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 от 15.01.2018 № 24, от 11.12.2017 № 1143, от 14.11.2017 № 1042, от 05.10.2017 № 908, от 04.09.2017 года № 823, от 03.07.2017 года № 634,  от 08.06.2017 года № 548, от 05.05.2017 № 429, от 24.01.2017 № 62, от 11.11.2016 года № 1159, от 27.09.2016 года № 1032, от 12.09.2016 года  № 984,  от 26.08.2016 года № 949, от 01.07.2016 года № 742, от 15 февраля 2016 года № 161,  от 01 октября 2015 года № 1393, от 14 августа 2015 года № 1171, от 06 марта 2015 года № 483, от 22 января 2015 года  № 93)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>
          <w:color w:val="FF0000"/>
        </w:rPr>
      </w:pPr>
      <w:r>
        <w:rPr>
          <w:rFonts w:ascii="Liberation Serif" w:hAnsi="Liberation Serif"/>
          <w:szCs w:val="28"/>
        </w:rPr>
        <w:t xml:space="preserve">В соответствии со статьей 179 Бюджетного кодекса Российской Федерации, руководствуясь </w:t>
      </w:r>
      <w:r>
        <w:rPr>
          <w:rFonts w:ascii="Liberation Serif" w:hAnsi="Liberation Serif"/>
          <w:bCs/>
          <w:szCs w:val="28"/>
        </w:rPr>
        <w:t xml:space="preserve">Федеральным законом от 06.10.2013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bCs/>
          <w:szCs w:val="28"/>
        </w:rPr>
        <w:t xml:space="preserve">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Fonts w:ascii="Liberation Serif" w:hAnsi="Liberation Serif"/>
          <w:szCs w:val="28"/>
        </w:rPr>
        <w:t xml:space="preserve">Порядком формирования и реализации муниципальных программ Камышловского городского округа, утвержденного постановлением  главы  Камышловского  городского округа от 04.10.2013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szCs w:val="28"/>
        </w:rPr>
        <w:t xml:space="preserve"> 1786, решением Думы Камышловского городского округа от 24.09.2020 № 523 «О внесении изменения в решение Думы КГО от 05.12.2019 № 440 «О бюджете КГО на 2020 год и плановый период 2021 и 2022 годов», 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</w:t>
      </w:r>
      <w:r>
        <w:rPr>
          <w:rFonts w:ascii="Liberation Serif" w:hAnsi="Liberation Serif"/>
          <w:b/>
          <w:bCs/>
          <w:szCs w:val="28"/>
        </w:rPr>
        <w:t xml:space="preserve"> </w:t>
      </w:r>
      <w:r>
        <w:rPr>
          <w:rFonts w:ascii="Liberation Serif" w:hAnsi="Liberation Serif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 (далее Программа), утверждённую постановлением главы Камышловского городского округа от 12 ноября 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</w:rPr>
        <w:t xml:space="preserve"> 2008 (с изменениями внесенными постановлениями главы Камышловского городского округа от 22.09.2020 № 623, </w:t>
      </w:r>
      <w:bookmarkStart w:id="1" w:name="_GoBack"/>
      <w:bookmarkEnd w:id="1"/>
      <w:r>
        <w:rPr>
          <w:rFonts w:ascii="Liberation Serif" w:hAnsi="Liberation Serif"/>
        </w:rPr>
        <w:t xml:space="preserve">от 05.08.2020 года №512, от 30.06.2020 года № 437, от 24.04.2020 года № 275, от 13.04.2020 года № 248,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 от 15.01.2018 № 24, от 11.12.2017 № 1143, от 14.11.2017 № 1042, от 05.10.2017 № 908, от 04.09.2017 года № 823, от 03.07.2017 года № 634,  от 08.06.2017 года № 548, от 05.05.2017 № 429, от 24.01.2017 № 62, от 11.11.2016 года № 1159, от 27.09.2016 года № 1032, от </w:t>
      </w:r>
      <w:r>
        <w:rPr>
          <w:rFonts w:ascii="Liberation Serif" w:hAnsi="Liberation Serif"/>
          <w:szCs w:val="28"/>
        </w:rPr>
        <w:t>12.09.2016 года  № 984</w:t>
      </w:r>
      <w:r>
        <w:rPr>
          <w:rFonts w:ascii="Liberation Serif" w:hAnsi="Liberation Serif"/>
        </w:rPr>
        <w:t>,  от 26.08.2016 года № 949, от 01.07.2016 года № 742, от 15 февраля 2016 года № 161,  от 01 октября 2015 года № 1393, от 14 августа 2015 года № 1171, от 06 марта 2015 года № 483, от 22 января 2015 года  № 93) следующие изменения (прилагается):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Паспорт Программы дополнить: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ВСЕГО:  </w:t>
            </w:r>
          </w:p>
          <w:p>
            <w:pPr>
              <w:pStyle w:val="Normal"/>
              <w:rPr>
                <w:rFonts w:ascii="Liberation Serif" w:hAnsi="Liberation Serif"/>
                <w:b/>
                <w:b/>
                <w:bCs/>
                <w:szCs w:val="28"/>
              </w:rPr>
            </w:pPr>
            <w:r>
              <w:rPr>
                <w:rFonts w:ascii="Liberation Serif" w:hAnsi="Liberation Serif"/>
                <w:b/>
                <w:bCs/>
                <w:szCs w:val="28"/>
              </w:rPr>
              <w:t>3 988 275 123,62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458 775 148,00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497 655 320,00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516 861 700,00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–545</w:t>
            </w:r>
            <w:r>
              <w:rPr>
                <w:rFonts w:ascii="Liberation Serif" w:hAnsi="Liberation Serif"/>
                <w:bCs/>
              </w:rPr>
              <w:t> 338 707,00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–634 514 047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–642 472 101,22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–692 658 099</w:t>
            </w:r>
            <w:r>
              <w:rPr>
                <w:rFonts w:ascii="Liberation Serif" w:hAnsi="Liberation Serif"/>
                <w:bCs/>
              </w:rPr>
              <w:t>,90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федеральный бюджет: </w:t>
            </w:r>
            <w:r>
              <w:rPr>
                <w:rFonts w:ascii="Liberation Serif" w:hAnsi="Liberation Serif"/>
                <w:b/>
                <w:bCs/>
              </w:rPr>
              <w:t>13 962 407,00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–405 200,00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–1 322 800,00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–160 890,00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–12 073 517,00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бюджет: </w:t>
            </w:r>
            <w:r>
              <w:rPr>
                <w:rFonts w:ascii="Liberation Serif" w:hAnsi="Liberation Serif"/>
                <w:b/>
              </w:rPr>
              <w:t>2 016 857 361,50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207 112 848,00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228 896 700,00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2016 год – </w:t>
            </w:r>
            <w:r>
              <w:rPr>
                <w:rFonts w:ascii="Liberation Serif" w:hAnsi="Liberation Serif"/>
                <w:bCs/>
              </w:rPr>
              <w:t>279 592 700,00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–287 032 700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–318 355 717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–340 052 800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год – </w:t>
            </w:r>
            <w:r>
              <w:rPr>
                <w:rFonts w:ascii="Liberation Serif" w:hAnsi="Liberation Serif"/>
                <w:bCs/>
              </w:rPr>
              <w:t>355 813 896,00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бюджет: </w:t>
            </w:r>
            <w:r>
              <w:rPr>
                <w:rFonts w:ascii="Liberation Serif" w:hAnsi="Liberation Serif"/>
                <w:b/>
              </w:rPr>
              <w:t>1 957 455 355,12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251 257 100,00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2015 год – </w:t>
            </w:r>
            <w:r>
              <w:rPr>
                <w:rFonts w:ascii="Liberation Serif" w:hAnsi="Liberation Serif"/>
                <w:bCs/>
              </w:rPr>
              <w:t>267 435 820,00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237 269 000,00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–258 306 007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–316 158 330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–302 258 411,22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324 770 686</w:t>
            </w:r>
            <w:r>
              <w:rPr>
                <w:rFonts w:ascii="Liberation Serif" w:hAnsi="Liberation Serif"/>
                <w:bCs/>
              </w:rPr>
              <w:t>,90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внебюджетные источники: </w:t>
            </w:r>
            <w:r>
              <w:rPr>
                <w:rFonts w:ascii="Liberation Serif" w:hAnsi="Liberation Serif"/>
                <w:b/>
              </w:rPr>
              <w:t>0</w:t>
            </w:r>
          </w:p>
        </w:tc>
      </w:tr>
    </w:tbl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ConsPlusCell"/>
        <w:widowControl w:val="false"/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2.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2020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«Камышловские известия» и 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Глава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Камышловского городского округа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4pt;margin-top:0.05pt;width:7.0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ADDB-513C-4934-94DF-E07B8A5D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Application>LibreOffice/6.3.4.2$Windows_X86_64 LibreOffice_project/60da17e045e08f1793c57c00ba83cdfce946d0aa</Application>
  <Pages>3</Pages>
  <Words>932</Words>
  <Characters>4684</Characters>
  <CharactersWithSpaces>5645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2019-11-28T05:38:00Z</dcterms:created>
  <dc:creator>Администратор</dc:creator>
  <dc:description/>
  <dc:language>ru-RU</dc:language>
  <cp:lastModifiedBy/>
  <cp:lastPrinted>2020-10-02T09:46:40Z</cp:lastPrinted>
  <dcterms:modified xsi:type="dcterms:W3CDTF">2020-10-02T09:59:52Z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