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widowControl w:val="false"/>
        <w:numPr>
          <w:ilvl w:val="0"/>
          <w:numId w:val="2"/>
        </w:numPr>
        <w:overflowPunct w:val="false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0" distL="0" distR="0">
            <wp:extent cx="485140" cy="7556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2"/>
        <w:widowControl w:val="false"/>
        <w:numPr>
          <w:ilvl w:val="0"/>
          <w:numId w:val="2"/>
        </w:numPr>
        <w:overflowPunct w:val="false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2"/>
        <w:widowControl w:val="false"/>
        <w:numPr>
          <w:ilvl w:val="0"/>
          <w:numId w:val="2"/>
        </w:numPr>
        <w:overflowPunct w:val="false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2"/>
        <w:widowControl w:val="false"/>
        <w:numPr>
          <w:ilvl w:val="0"/>
          <w:numId w:val="2"/>
        </w:numPr>
        <w:pBdr>
          <w:top w:val="double" w:sz="12" w:space="1" w:color="000000"/>
        </w:pBdr>
        <w:overflowPunct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autoSpaceDE w:val="true"/>
        <w:spacing w:before="0" w:after="0"/>
        <w:jc w:val="left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color w:val="26282F"/>
          <w:sz w:val="28"/>
          <w:szCs w:val="28"/>
        </w:rPr>
        <w:t>20.10.2021</w:t>
      </w:r>
      <w:r>
        <w:rPr>
          <w:rStyle w:val="Style13"/>
          <w:rFonts w:ascii="Liberation Serif" w:hAnsi="Liberation Serif"/>
          <w:sz w:val="28"/>
          <w:szCs w:val="28"/>
        </w:rPr>
        <w:t xml:space="preserve">  N </w:t>
      </w:r>
      <w:r>
        <w:rPr>
          <w:rStyle w:val="Style13"/>
          <w:rFonts w:ascii="Liberation Serif" w:hAnsi="Liberation Serif"/>
          <w:b/>
          <w:bCs/>
          <w:color w:val="26282F"/>
          <w:sz w:val="28"/>
          <w:szCs w:val="28"/>
        </w:rPr>
        <w:t>783</w:t>
      </w:r>
    </w:p>
    <w:p>
      <w:pPr>
        <w:pStyle w:val="1"/>
        <w:keepNext w:val="true"/>
        <w:numPr>
          <w:ilvl w:val="0"/>
          <w:numId w:val="2"/>
        </w:numPr>
        <w:tabs>
          <w:tab w:val="clear" w:pos="708"/>
          <w:tab w:val="left" w:pos="0" w:leader="none"/>
        </w:tabs>
        <w:autoSpaceDE w:val="true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 xml:space="preserve">Об утверждении муниципальной программы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 xml:space="preserve">«Профилактика экстремизма и гармонизация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 xml:space="preserve">межнациональных и межконфессиональных отношений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cs="Times New Roman" w:ascii="Liberation Serif" w:hAnsi="Liberation Serif"/>
          <w:iCs/>
          <w:sz w:val="28"/>
          <w:szCs w:val="28"/>
        </w:rPr>
        <w:t>в Камышловском городском округе до 2028 года»</w:t>
      </w:r>
    </w:p>
    <w:p>
      <w:pPr>
        <w:pStyle w:val="ConsPlusTitle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2"/>
        <w:ind w:left="0" w:right="0"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изменениями),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Федеральным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ом от 25.07.2002 № 114-ФЗ «О противодействии экстремистской деятельности», Федеральным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ом от 25.07.2002 № 112-ФЗ «О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внесении изменений и дополнений в законодательные акты Российской Федерации в связи с принятием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Федерального закона «О противодействии экстремистской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деятельности», Федеральным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ом от 24.07.2007 № 211-ФЗ «О внесении изменений в отдельные законодательные акты Российской Федерации в связи с совершенствованием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государственного управления в области противодействия экстремизму», Указом Президента Российской Федерации от 07.05.2012 №602-УП «Об обеспечении межнационального согласия», Постановлением Правительства Свердловской области от 29.12.2017 № 1038-ПП «Об утверждении комплексной программы Свердловской области «Укрепление единства российской нации и этнокультурное развитие народов России, проживающих в Свердловской области» до 2024 года», </w:t>
      </w:r>
      <w:r>
        <w:rPr>
          <w:rStyle w:val="Style13"/>
          <w:rFonts w:ascii="Liberation Serif" w:hAnsi="Liberation Serif"/>
          <w:sz w:val="28"/>
          <w:szCs w:val="28"/>
        </w:rPr>
        <w:t xml:space="preserve">распоряжением Губернатора Свердловской области от 29.10.2015 № 269-РГ «Об утверждении Концепции реализации государственной политики Российской Федерации на территории Свердловской области до 2025 года», постановлением главы Камышловского городского округа от 04.10.2013 № 1786 «Об утверждении Порядка формирования и реализации муниципальных программ Камышловского городского округа» (с изменениями) и в целях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совершенствования системы профилактических мер антиэкстремистской направленности, предупреждения экстремистских проявлений, укрепления и дальнейшего распространения норм и установок толерантного сознания и поведения, формирования уважительного отношения к этнокультурным и конфессиональным различиям в Камышловском городском округе, администрация Камышловского городского округа</w:t>
      </w:r>
    </w:p>
    <w:p>
      <w:pPr>
        <w:pStyle w:val="Style3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ConsPlusTitle"/>
        <w:widowControl/>
        <w:numPr>
          <w:ilvl w:val="0"/>
          <w:numId w:val="3"/>
        </w:numPr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b w:val="false"/>
          <w:sz w:val="28"/>
          <w:szCs w:val="28"/>
        </w:rPr>
        <w:t>Утвердить Муниципальную программу</w:t>
      </w:r>
      <w:r>
        <w:rPr>
          <w:rStyle w:val="Style13"/>
          <w:rFonts w:cs="Times New Roman" w:ascii="Liberation Serif" w:hAnsi="Liberation Serif"/>
          <w:b w:val="false"/>
          <w:color w:val="FF0000"/>
          <w:sz w:val="28"/>
          <w:szCs w:val="28"/>
        </w:rPr>
        <w:t xml:space="preserve"> </w:t>
      </w:r>
      <w:r>
        <w:rPr>
          <w:rStyle w:val="Style13"/>
          <w:rFonts w:cs="Times New Roman" w:ascii="Liberation Serif" w:hAnsi="Liberation Serif"/>
          <w:b w:val="false"/>
          <w:sz w:val="28"/>
          <w:szCs w:val="28"/>
        </w:rPr>
        <w:t>«Профилактика экстремизма и гармонизация межнациональных и межконфессиональных отношений в Камышловском городском округе до 2028 года» (прилагается).</w:t>
      </w:r>
    </w:p>
    <w:p>
      <w:pPr>
        <w:pStyle w:val="ConsPlusTitle"/>
        <w:widowControl/>
        <w:numPr>
          <w:ilvl w:val="0"/>
          <w:numId w:val="3"/>
        </w:numPr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b w:val="false"/>
          <w:sz w:val="28"/>
          <w:szCs w:val="28"/>
        </w:rPr>
        <w:t>Настоящее постановление вступает в силу с 01.01.2022 года.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</w:p>
    <w:p>
      <w:pPr>
        <w:pStyle w:val="ConsPlusTitle"/>
        <w:widowControl/>
        <w:numPr>
          <w:ilvl w:val="0"/>
          <w:numId w:val="3"/>
        </w:numPr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b w:val="false"/>
          <w:sz w:val="28"/>
          <w:szCs w:val="28"/>
        </w:rPr>
        <w:t>Настоящее постановление опубликовать в газете «Камышловские известия и разместить на официальном сайте Камышловского городского округа.</w:t>
      </w:r>
    </w:p>
    <w:p>
      <w:pPr>
        <w:pStyle w:val="ConsPlusTitle"/>
        <w:widowControl/>
        <w:numPr>
          <w:ilvl w:val="0"/>
          <w:numId w:val="3"/>
        </w:numPr>
        <w:tabs>
          <w:tab w:val="clear" w:pos="708"/>
          <w:tab w:val="left" w:pos="993" w:leader="none"/>
        </w:tabs>
        <w:ind w:left="0" w:right="0" w:firstLine="567"/>
        <w:jc w:val="both"/>
        <w:rPr/>
      </w:pPr>
      <w:r>
        <w:rPr>
          <w:rStyle w:val="Style13"/>
          <w:rFonts w:cs="Times New Roman" w:ascii="Liberation Serif" w:hAnsi="Liberation Serif"/>
          <w:b w:val="false"/>
          <w:sz w:val="28"/>
          <w:szCs w:val="28"/>
        </w:rPr>
        <w:t>Контроль за выполнением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ConsPlusTitle"/>
        <w:widowControl/>
        <w:tabs>
          <w:tab w:val="clear" w:pos="708"/>
          <w:tab w:val="left" w:pos="993" w:leader="none"/>
        </w:tabs>
        <w:jc w:val="both"/>
        <w:rPr>
          <w:rFonts w:ascii="Liberation Serif" w:hAnsi="Liberation Serif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993" w:leader="none"/>
        </w:tabs>
        <w:jc w:val="both"/>
        <w:rPr>
          <w:rFonts w:ascii="Liberation Serif" w:hAnsi="Liberation Serif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</w:t>
        <w:tab/>
        <w:t xml:space="preserve">                                               А.В. Половников</w:t>
      </w:r>
    </w:p>
    <w:p>
      <w:pPr>
        <w:pStyle w:val="ConsPlusNormal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autoSpaceDE w:val="false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УТВЕРЖДЕНА </w:t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20.10.2021</w:t>
      </w:r>
      <w:r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783</w:t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rPr/>
      </w:pPr>
      <w:r>
        <w:rPr>
          <w:rStyle w:val="Style13"/>
          <w:rFonts w:ascii="Liberation Serif" w:hAnsi="Liberation Serif"/>
          <w:sz w:val="28"/>
          <w:szCs w:val="28"/>
        </w:rPr>
        <w:t>«Об утверждении муниципальной программы Камышловского городского округа «Профилактика экстремизма и гармонизация межнациональных и межконфессиональных отношений в Камышловском городском округе до 2028 года»</w:t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32"/>
        <w:widowControl w:val="false"/>
        <w:tabs>
          <w:tab w:val="clear" w:pos="708"/>
        </w:tabs>
        <w:autoSpaceDE w:val="false"/>
        <w:ind w:left="4536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Муниципальная программа Камышловского городского округа 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«Профилактика экстремизма и гармонизация межнациональных 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межконфессиональных отношений в Камышловском городском округе до 2028 года»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ПАСПОРТ 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муниципальной программы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«Профилактика экстремизма и гармонизация межнациональных 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межконфессиональных отношений в Камышловском городском округе 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до 2028 года»</w:t>
      </w:r>
    </w:p>
    <w:p>
      <w:pPr>
        <w:pStyle w:val="Style32"/>
        <w:widowControl w:val="false"/>
        <w:autoSpaceDE w:val="false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465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4820"/>
        <w:gridCol w:w="4645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autoSpaceDE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Профилактика экстремизма и гармонизация межнациональных и межконфессиональных отношений в Камышловском городском округе до 2028 года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Сроки реализации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2022-2028 годы</w:t>
            </w:r>
          </w:p>
        </w:tc>
      </w:tr>
      <w:tr>
        <w:trPr>
          <w:trHeight w:val="3392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Цели и задачи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widowControl w:val="false"/>
              <w:autoSpaceDE w:val="false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Цель муниципальной программы:</w:t>
            </w:r>
          </w:p>
          <w:p>
            <w:pPr>
              <w:pStyle w:val="ConsPlusCell"/>
              <w:tabs>
                <w:tab w:val="clear" w:pos="708"/>
              </w:tabs>
              <w:ind w:left="31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совершенствование системы профилактических мер антиэкстремистской направленности, предупреждение экстремистских проявлений, укрепление и дальнейшее распространение норм и установок толерантного сознания и поведения, </w:t>
            </w: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гармонизация национальных и межнациональных (межэтнических) отношений. </w:t>
            </w:r>
          </w:p>
          <w:p>
            <w:pPr>
              <w:pStyle w:val="Style32"/>
              <w:widowControl w:val="false"/>
              <w:autoSpaceDE w:val="false"/>
              <w:jc w:val="both"/>
              <w:rPr>
                <w:rFonts w:ascii="Liberation Serif" w:hAnsi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</w:r>
          </w:p>
          <w:p>
            <w:pPr>
              <w:pStyle w:val="Style32"/>
              <w:widowControl w:val="false"/>
              <w:autoSpaceDE w:val="false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Задачи муниципальной программы:</w:t>
            </w:r>
            <w:r>
              <w:rPr>
                <w:rStyle w:val="Style13"/>
                <w:rFonts w:ascii="Liberation Serif" w:hAnsi="Liberation Serif"/>
                <w:sz w:val="28"/>
                <w:szCs w:val="28"/>
                <w:u w:val="single"/>
              </w:rPr>
              <w:t xml:space="preserve"> </w:t>
            </w:r>
          </w:p>
          <w:p>
            <w:pPr>
              <w:pStyle w:val="Style32"/>
              <w:shd w:fill="FFFFFF" w:val="clear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1) </w:t>
            </w:r>
            <w:r>
              <w:rPr>
                <w:rStyle w:val="Style13"/>
                <w:rFonts w:ascii="Liberation Serif" w:hAnsi="Liberation Serif"/>
                <w:color w:val="000000"/>
                <w:sz w:val="28"/>
                <w:szCs w:val="28"/>
              </w:rPr>
              <w:t xml:space="preserve">организация мониторинга общественно-политических, социально-экономических и иных процессов, оказывающих влияние на ситуацию в сфере профилактики экстремизма; </w:t>
            </w:r>
          </w:p>
          <w:p>
            <w:pPr>
              <w:pStyle w:val="Style32"/>
              <w:shd w:fill="FFFFFF" w:val="clear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координация деятельности всех органов местного самоуправления Камышловского городского округа, всех субъектов профилактики, направленной на предупреждение экстремизма и формирование толерантного сознания на территории Камышловского городского округа прежде всего в молодежной среде;</w:t>
            </w:r>
          </w:p>
          <w:p>
            <w:pPr>
              <w:pStyle w:val="Style32"/>
              <w:shd w:fill="FFFFFF" w:val="clear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3) с</w:t>
            </w:r>
            <w:r>
              <w:rPr>
                <w:rFonts w:ascii="Liberation Serif" w:hAnsi="Liberation Serif"/>
                <w:sz w:val="28"/>
                <w:szCs w:val="28"/>
              </w:rPr>
              <w:t>одействие укреплению гражданского единства и гармонизации межнациональных отношений, путем вовлечения населения, в том числе молодежи в мероприятия, способствующие профилактике экстремизма и этнокультурному развитию.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Перечень основных целевых показателей муниципальной программы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32"/>
              <w:jc w:val="both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 xml:space="preserve">1) </w:t>
            </w:r>
            <w:r>
              <w:rPr>
                <w:rFonts w:ascii="Liberation Serif" w:hAnsi="Liberation Serif"/>
                <w:sz w:val="28"/>
                <w:szCs w:val="28"/>
              </w:rPr>
              <w:t>доля информированных граждан по вопросам противодействия экстремизму;</w:t>
            </w:r>
          </w:p>
          <w:p>
            <w:pPr>
              <w:pStyle w:val="Style3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2) количество заседаний Консультативного совета по взаимодействию с национально-культурными и религиозными организациями и комиссий по противодействию проявлениям экстремизма (в год);</w:t>
            </w:r>
          </w:p>
          <w:p>
            <w:pPr>
              <w:pStyle w:val="Style32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3) организация повышения квалификации муниципальных служащих по вопросам гармонизации межнациональных отношений, поддержания межэтнического мира, профилактики экстремизма;</w:t>
            </w:r>
          </w:p>
          <w:p>
            <w:pPr>
              <w:pStyle w:val="ConsPlusCell"/>
              <w:tabs>
                <w:tab w:val="clear" w:pos="708"/>
              </w:tabs>
              <w:ind w:left="34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4) доля жителей, вовлеченных в мероприятия, направленные на профилактику экстремизма и укрепление межнациональных отношений.</w:t>
            </w:r>
          </w:p>
        </w:tc>
      </w:tr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ВСЕГО: 1 400 000,00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областной бюджет: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федеральный бюджет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2028 год - 200 000,00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внебюджетные источники: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2022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2024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2025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2026 год - 0,00</w:t>
            </w:r>
          </w:p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2027 год - 0,00</w:t>
            </w:r>
          </w:p>
          <w:p>
            <w:pPr>
              <w:pStyle w:val="ConsPlusCell"/>
              <w:rPr/>
            </w:pPr>
            <w:r>
              <w:rPr>
                <w:rStyle w:val="Style13"/>
                <w:rFonts w:ascii="Liberation Serif" w:hAnsi="Liberation Serif"/>
                <w:sz w:val="28"/>
                <w:szCs w:val="28"/>
              </w:rPr>
              <w:t>2028 год - 0,00</w:t>
            </w:r>
          </w:p>
        </w:tc>
      </w:tr>
      <w:tr>
        <w:trPr>
          <w:trHeight w:val="350" w:hRule="atLeast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rPr/>
            </w:pPr>
            <w:hyperlink r:id="rId3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  <w:lang w:val="en-US"/>
                </w:rPr>
                <w:t>http</w:t>
              </w:r>
            </w:hyperlink>
            <w:hyperlink r:id="rId4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://</w:t>
              </w:r>
            </w:hyperlink>
            <w:hyperlink r:id="rId5" w:tgtFrame="_top">
              <w:r>
                <w:rPr>
                  <w:rStyle w:val="Style14"/>
                </w:rPr>
                <w:t>goro</w:t>
              </w:r>
            </w:hyperlink>
            <w:hyperlink r:id="rId6" w:tgtFrame="_top">
              <w:bookmarkStart w:id="0" w:name="_Hlt370367669"/>
              <w:bookmarkStart w:id="1" w:name="_Hlt370367668"/>
              <w:r>
                <w:rPr>
                  <w:rStyle w:val="Style14"/>
                </w:rPr>
                <w:t>d</w:t>
              </w:r>
            </w:hyperlink>
            <w:hyperlink r:id="rId7" w:tgtFrame="_top">
              <w:bookmarkEnd w:id="0"/>
              <w:bookmarkEnd w:id="1"/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-</w:t>
              </w:r>
            </w:hyperlink>
            <w:hyperlink r:id="rId8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  <w:lang w:val="en-US"/>
                </w:rPr>
                <w:t>kamyshlov</w:t>
              </w:r>
            </w:hyperlink>
            <w:hyperlink r:id="rId9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</w:rPr>
                <w:t>.</w:t>
              </w:r>
            </w:hyperlink>
            <w:hyperlink r:id="rId10" w:tgtFrame="_top">
              <w:r>
                <w:rPr>
                  <w:rStyle w:val="Style14"/>
                  <w:rFonts w:ascii="Liberation Serif" w:hAnsi="Liberation Serif"/>
                  <w:sz w:val="28"/>
                  <w:szCs w:val="28"/>
                  <w:lang w:val="en-US"/>
                </w:rPr>
                <w:t>ru</w:t>
              </w:r>
            </w:hyperlink>
          </w:p>
          <w:p>
            <w:pPr>
              <w:pStyle w:val="ConsPlusCell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color w:val="FF0000"/>
                <w:sz w:val="28"/>
                <w:szCs w:val="28"/>
              </w:rPr>
            </w:r>
          </w:p>
        </w:tc>
      </w:tr>
    </w:tbl>
    <w:p>
      <w:pPr>
        <w:pStyle w:val="Style32"/>
        <w:widowControl w:val="false"/>
        <w:autoSpaceDE w:val="fals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bookmarkStart w:id="2" w:name="Par204"/>
      <w:bookmarkStart w:id="3" w:name="Par204"/>
      <w:bookmarkEnd w:id="3"/>
    </w:p>
    <w:p>
      <w:pPr>
        <w:pStyle w:val="Style32"/>
        <w:widowControl w:val="false"/>
        <w:autoSpaceDE w:val="false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32"/>
        <w:widowControl w:val="false"/>
        <w:autoSpaceDE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Раздел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  <w:lang w:val="en-US"/>
        </w:rPr>
        <w:t>I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Характеристика и анализ текущего состояния сферы профилактики экстремизма и гармонизации межнациональных и межконфессиональных отношений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Глава 1. Нормативно-правовая база в сфере профилактики экстремизма и гармонизации межнациональных и межконфессиональных отношений</w:t>
      </w:r>
    </w:p>
    <w:p>
      <w:pPr>
        <w:pStyle w:val="Style3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32"/>
        <w:suppressAutoHyphens w:val="true"/>
        <w:ind w:left="0" w:right="0" w:firstLine="68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1) </w:t>
      </w:r>
      <w:r>
        <w:rPr>
          <w:rStyle w:val="Style13"/>
          <w:rFonts w:ascii="Liberation Serif" w:hAnsi="Liberation Serif"/>
          <w:sz w:val="28"/>
          <w:szCs w:val="28"/>
        </w:rPr>
        <w:t>Конституция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Российской Федерации.   </w:t>
      </w:r>
    </w:p>
    <w:p>
      <w:pPr>
        <w:pStyle w:val="Style32"/>
        <w:suppressAutoHyphens w:val="true"/>
        <w:ind w:left="0" w:right="0" w:firstLine="68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2) Федеральный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Style32"/>
        <w:suppressAutoHyphens w:val="true"/>
        <w:ind w:left="0" w:right="0" w:firstLine="737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3) Федеральный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25.07.2002  № 114-ФЗ «О противодействии экстремистской деятельности».    </w:t>
      </w:r>
    </w:p>
    <w:p>
      <w:pPr>
        <w:pStyle w:val="Style32"/>
        <w:suppressAutoHyphens w:val="true"/>
        <w:ind w:left="0" w:right="0" w:firstLine="68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4) Федеральный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25.07.2002 № 112-ФЗ «О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внесении изменений и дополнений в законодательные акты Российской Федерации в связи с принятием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Федерального закона «О противодействии экстремистской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деятельности».</w:t>
      </w:r>
    </w:p>
    <w:p>
      <w:pPr>
        <w:pStyle w:val="Style32"/>
        <w:suppressAutoHyphens w:val="true"/>
        <w:ind w:left="0" w:right="0" w:firstLine="737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5) Федеральный </w:t>
      </w:r>
      <w:r>
        <w:rPr>
          <w:rStyle w:val="Style13"/>
          <w:rFonts w:ascii="Liberation Serif" w:hAnsi="Liberation Serif"/>
          <w:sz w:val="28"/>
          <w:szCs w:val="28"/>
        </w:rPr>
        <w:t>закон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от 24.07.2007 № 211-ФЗ «О внесении изменений в отдельные законодательные акты Российской Федерации в связи с совершенствованием</w:t>
      </w:r>
      <w:r>
        <w:rPr>
          <w:rStyle w:val="Style13"/>
          <w:rFonts w:cs="Courier New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государственного управления в области противодействия экстремизму».</w:t>
      </w:r>
    </w:p>
    <w:p>
      <w:pPr>
        <w:pStyle w:val="Style32"/>
        <w:suppressAutoHyphens w:val="true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Указ Президента Российской Федерации от 07.05.2012 № 602-УП «Об обеспечении межнационального согласия».</w:t>
      </w:r>
    </w:p>
    <w:p>
      <w:pPr>
        <w:pStyle w:val="Style32"/>
        <w:suppressAutoHyphens w:val="true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Постановление Правительства Свердловской области от 29.12.2017 № 1038-ПП «Об утверждении комплексной программы Свердловской области «Укрепление единства российской нации и этнокультурное развитие народов России, проживающих в Свердловской области» до 2024 года</w:t>
      </w:r>
    </w:p>
    <w:p>
      <w:pPr>
        <w:pStyle w:val="Style32"/>
        <w:widowControl w:val="false"/>
        <w:suppressAutoHyphens w:val="true"/>
        <w:autoSpaceDE w:val="false"/>
        <w:ind w:left="0" w:right="0" w:firstLine="737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8)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Указ Президента РФ от 19.12.2012 № 1666 «О Стратегии государственной национальной политики Российской Федерации на период до 2025 года» (в редакции Указа Президента Российской Федерации от 06.12.2018  № 703)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  </w:t>
      </w:r>
    </w:p>
    <w:p>
      <w:pPr>
        <w:pStyle w:val="ConsPlusNormal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31"/>
        <w:spacing w:lineRule="atLeast" w:line="240"/>
        <w:ind w:left="0" w:right="12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45"/>
        <w:spacing w:lineRule="atLeast" w:line="240"/>
        <w:ind w:left="0" w:right="0" w:firstLine="567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Глава 2. Характеристика и анализ текущего состояния</w:t>
      </w:r>
    </w:p>
    <w:p>
      <w:pPr>
        <w:pStyle w:val="Style45"/>
        <w:spacing w:lineRule="atLeast" w:line="240"/>
        <w:ind w:left="0" w:right="0" w:firstLine="567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ConsPlusCell"/>
        <w:tabs>
          <w:tab w:val="clear" w:pos="708"/>
        </w:tabs>
        <w:ind w:left="31" w:right="0" w:firstLine="678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1. Муниципальная программа «Профилактика экстремизма и гармонизация межнациональных и межконфессиональных отношений в Камышловском городском округе до 2028 года» (далее - Программа) направлена на </w:t>
      </w:r>
      <w:r>
        <w:rPr>
          <w:rFonts w:ascii="Liberation Serif" w:hAnsi="Liberation Serif"/>
          <w:sz w:val="28"/>
          <w:szCs w:val="28"/>
        </w:rPr>
        <w:t xml:space="preserve">совершенствование системы профилактических мер антиэкстремистской направленности, предупреждение экстремистских проявлений, укрепление и дальнейшее распространение норм и установок толерантного сознания и поведения, </w:t>
      </w:r>
      <w:r>
        <w:rPr>
          <w:rStyle w:val="Style13"/>
          <w:rFonts w:ascii="Liberation Serif" w:hAnsi="Liberation Serif"/>
          <w:sz w:val="28"/>
          <w:szCs w:val="28"/>
        </w:rPr>
        <w:t xml:space="preserve">гармонизация национальных и межнациональных (межэтнических) отношений.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На территории Камышловского городского округа проживают 25,58 тыс. человек. Основную часть населения городского округа составляют русские - 93,4 %, таджики - 1,6 %, армяне- 0,8 %, белорусы - 0,5 %, узбеки - 0,18 %, азербайджанцы – 1 %, киргизы- 0,4 %.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3. В городском округе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конфликтов. Особое внимание уделяется профилактике распространению экстремизма в молодежной среде. В рамках взаимодействия общеобразовательных организаций, подведомственных Комитету по образованию, культуре, спорту и делам молодежи администрации Камышловского городского округа проводятся мероприятия, направленные на формирование толерантного отношения среди подростков. В образовательных учреждениях городского округа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При администрации Камышловского городского округа создан Консультативный совет по взаимодействию с национальными и религиозными общественными объединениями на территории Камышловского городского округа (Постановление главы Камышловского городского округа от 25.06.2009 № 988), а также Межведомственная комиссия по противодействию проявлениям экстремизма на территории Камышловского городского округа (Постановление главы Камышловского городского округа от 15.06.2009 №920)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6. На территории Камышловского городского округа большое значение имеет профилактика потенциальной возможности возникновения этнических проблем, локализация и погашение очагов назревающей напряженности. При организации профилактики экстремизма немаловажную роль играет системный подход. Системность программно-целевого метода позволяет наиболее полноценно охватить мероприятиями по профилактике экстремизма сферу межнациональных отношений.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В рамках Программы запланирована реализация мероприятий достижения целевых показателей, направленных на профилактику проявлений экстремизма на территории городского округа. Необходимо продолжать работу по гармонизации межнациональных отношений,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Усиление миграционных потоков требует выработки стратегии и создания механизмов адаптации нового полиэтнического населения городского округа к базовым общечеловеческим ценностям, а также позитивного восприятия этих процессов коренным населением разных национальностей.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9. Религиозная и межнациональная ситуация на территории округа характеризуется относительной стабильностью, что следует беречь и развивать. Вместе с тем, межэтнические отношения, являясь важной частью общественных отношений в развивающемся, модернизирующемся государстве, находятся в постоянной динамике и требуют постоянного внимания и системного регулирования. Этносоциологические исследования показывают, что, несмотря на позитивную динамику, уровень интолерантности остается достаточно высоким.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10. Необходимо принимать во внимание и вызовы общероссийского контекста межэтнических отношений, что в условиях низкого уровня этнокультурной компетентности населения может, в перспективе, привести к росту напряженности в межнациональных отношениях в Камышловском городском округе. К таким, в значительной степени внешним, угрозообразующим факторам относятся: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обострение межэтнических противоречий, рост количества преступлений экстремистской направленности;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рост националистических настроений в российском обществе на фоне сложных иммиграционных процессов;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недостаточная обеспеченность образовательного процесса дидактическими материалами, учебно-методической литературой, наглядными средствами обучения, мультимедийной продукцией, направленных на гармонизацию межэтнических отношений;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освещение в средствах массовой информации проблем национальных отношений.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первую очередь это касается Интернет - ресурсов - именно Интернет является сегодня главным распространителем среди несовершеннолетних и молодежи наиболее радикальных и экстремистских идей, идей религиозного, национального или расового превосходства.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11. Несмотря на то, что в образовательных учреждениях Камышловского городского округа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уважение присущих им ценностей, традиций, своеобразия образа жизни, в целом, в городском округе недостаточно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отсутствует согласованность действий в этом направлении различных социальных институтов: семьи, образовательных учреждений,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12. Разработка Программы является действенным инструментом по минимизации отмеченных негативных фактов и явлений, в конечном итоге - гармонизации межэтнических и межкультурных отношений, профилактики проявлений экстремизма в Камышловском городском округе и повышения уровня благополучия граждан.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13. Ожидаемые конечные результаты реализации программы: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минимизация возможности совершения экстремистских акций на территории Камышловского городского округа;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предупреждение преступлений и правонарушений экстремистской направленности;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пропаганда и распространение идей толерантности, гражданской солидарности, уважения к различным религиям и культурам;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  повышение индекса этнокультурной компетентности как в молодежной среде, так и среди взрослого населения;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повышение индекса спокойствия в сфере межэтнических отношений.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14. При реализации Программы могут возникнуть риски, связанные с недостаточным ресурсным обеспечением программных мероприятий, невыполнением городским округом принятых обязательств по финансированию программных мероприятий, что может привести к невыполнению программной цели.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15. Способами ограничения указанных рисков являются: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осуществление постоянного мониторинга реализации программных мероприятий; 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своевременная корректировка мероприятий и показателей Программы;</w:t>
      </w:r>
    </w:p>
    <w:p>
      <w:pPr>
        <w:pStyle w:val="Style32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перераспределение финансовых ресурсов с учетом приоритетности мероприятий и в зависимости от темпов достижения поставленных целей, распределение функций, полномочий и ответственности исполнителей мероприятий Программы.</w:t>
      </w:r>
    </w:p>
    <w:p>
      <w:pPr>
        <w:pStyle w:val="Style32"/>
        <w:widowControl w:val="false"/>
        <w:autoSpaceDE w:val="false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32"/>
        <w:widowControl w:val="false"/>
        <w:autoSpaceDE w:val="false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Раздел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  <w:lang w:val="en-US"/>
        </w:rPr>
        <w:t>II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. Цели и задачи муниципальной программы, целевые показатели реализации муниципальной программы</w:t>
      </w:r>
    </w:p>
    <w:p>
      <w:pPr>
        <w:pStyle w:val="Style32"/>
        <w:widowControl w:val="false"/>
        <w:autoSpaceDE w:val="false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32"/>
        <w:widowControl w:val="false"/>
        <w:autoSpaceDE w:val="false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Цели, задачи и целевые показатели реализации муниципальной программы приведены в приложении № 1 к настоящей муниципальной программе.</w:t>
      </w:r>
    </w:p>
    <w:p>
      <w:pPr>
        <w:pStyle w:val="Style32"/>
        <w:widowControl w:val="false"/>
        <w:autoSpaceDE w:val="false"/>
        <w:ind w:left="0" w:right="0"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32"/>
        <w:widowControl w:val="false"/>
        <w:autoSpaceDE w:val="false"/>
        <w:ind w:left="0" w:right="0" w:firstLine="540"/>
        <w:jc w:val="center"/>
        <w:rPr/>
      </w:pP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 xml:space="preserve">Раздел 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  <w:lang w:val="en-US"/>
        </w:rPr>
        <w:t>III</w:t>
      </w:r>
      <w:r>
        <w:rPr>
          <w:rStyle w:val="Style13"/>
          <w:rFonts w:ascii="Liberation Serif" w:hAnsi="Liberation Serif"/>
          <w:b/>
          <w:color w:val="000000"/>
          <w:sz w:val="28"/>
          <w:szCs w:val="28"/>
        </w:rPr>
        <w:t>. План мероприятий по выполнению муниципальной программы</w:t>
      </w:r>
    </w:p>
    <w:p>
      <w:pPr>
        <w:pStyle w:val="Style32"/>
        <w:widowControl w:val="false"/>
        <w:autoSpaceDE w:val="false"/>
        <w:ind w:left="0" w:right="0" w:firstLine="540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32"/>
        <w:widowControl w:val="false"/>
        <w:autoSpaceDE w:val="false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достижения цели муниципальной программы и выполнения поставленных задач разработан план мероприятий по выполнению муниципальной программы. Перечень мероприятий программы по направлениям с указанием годовых размеров расходов по источникам финансирования, а также взаимосвязь с показателями, на достижение которых направлены мероприятия, приведены в приложении № 2 к муниципальной программе. </w:t>
      </w:r>
    </w:p>
    <w:p>
      <w:pPr>
        <w:pStyle w:val="Style32"/>
        <w:autoSpaceDE w:val="false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Исполнители муниципальной программы: администрация Камышловского городского округа.</w:t>
      </w:r>
    </w:p>
    <w:p>
      <w:pPr>
        <w:pStyle w:val="Style32"/>
        <w:autoSpaceDE w:val="false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Финансирование муниципальной программы осуществляется за счет средств областного бюджета и бюджета Камышловского городского округа.</w:t>
      </w:r>
    </w:p>
    <w:p>
      <w:pPr>
        <w:pStyle w:val="Style32"/>
        <w:ind w:left="0" w:right="0" w:firstLine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Внебюджетные средства на финансирование муниципальной программы предусматриваются за счет привлечения средств от иной приносящей доход деятельности подведомственными учреждениями.</w:t>
      </w:r>
    </w:p>
    <w:p>
      <w:pPr>
        <w:pStyle w:val="Style3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Style32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sectPr>
      <w:headerReference w:type="default" r:id="rId11"/>
      <w:type w:val="nextPage"/>
      <w:pgSz w:w="11906" w:h="16838"/>
      <w:pgMar w:left="1701" w:right="567" w:header="1134" w:top="9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Arial Unicode MS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927" w:hanging="360"/>
      </w:pPr>
      <w:rPr>
        <w:sz w:val="28"/>
        <w:b w:val="false"/>
        <w:szCs w:val="28"/>
        <w:rFonts w:ascii="Liberation Serif" w:hAnsi="Liberation Serif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zh-CN" w:bidi="hi-IN" w:val="ru-RU"/>
    </w:rPr>
  </w:style>
  <w:style w:type="paragraph" w:styleId="1">
    <w:name w:val="Heading 1"/>
    <w:basedOn w:val="Style32"/>
    <w:next w:val="Style32"/>
    <w:qFormat/>
    <w:pPr>
      <w:numPr>
        <w:ilvl w:val="0"/>
        <w:numId w:val="1"/>
      </w:numPr>
      <w:suppressAutoHyphens w:val="true"/>
      <w:autoSpaceDE w:val="false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styleId="Style13">
    <w:name w:val="Основной шрифт абзаца"/>
    <w:qFormat/>
    <w:rPr/>
  </w:style>
  <w:style w:type="character" w:styleId="Style14">
    <w:name w:val="Гиперссылка"/>
    <w:qFormat/>
    <w:rPr>
      <w:color w:val="0000FF"/>
      <w:u w:val="single"/>
    </w:rPr>
  </w:style>
  <w:style w:type="character" w:styleId="Style15">
    <w:name w:val="Знак сноски"/>
    <w:rPr>
      <w:position w:val="7"/>
      <w:sz w:val="13"/>
    </w:rPr>
  </w:style>
  <w:style w:type="character" w:styleId="Style16">
    <w:name w:val="Цветовое выделение"/>
    <w:qFormat/>
    <w:rPr>
      <w:b/>
      <w:color w:val="000080"/>
    </w:rPr>
  </w:style>
  <w:style w:type="character" w:styleId="FontStyle30">
    <w:name w:val="Font Style30"/>
    <w:qFormat/>
    <w:rPr>
      <w:rFonts w:ascii="Times New Roman" w:hAnsi="Times New Roman" w:cs="Times New Roman"/>
      <w:sz w:val="24"/>
      <w:szCs w:val="24"/>
    </w:rPr>
  </w:style>
  <w:style w:type="character" w:styleId="Style17">
    <w:name w:val="Гипертекстовая ссылка"/>
    <w:qFormat/>
    <w:rPr>
      <w:b/>
      <w:color w:val="106BBE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  <w:lang w:val="ru-RU" w:eastAsia="ru-RU" w:bidi="ar-SA"/>
    </w:rPr>
  </w:style>
  <w:style w:type="character" w:styleId="Style19">
    <w:name w:val="Верхний колонтитул Знак"/>
    <w:qFormat/>
    <w:rPr>
      <w:sz w:val="28"/>
      <w:szCs w:val="28"/>
      <w:lang w:val="ru-RU" w:eastAsia="ru-RU" w:bidi="ar-SA"/>
    </w:rPr>
  </w:style>
  <w:style w:type="character" w:styleId="Style20">
    <w:name w:val="Нижний колонтитул Знак"/>
    <w:qFormat/>
    <w:rPr>
      <w:sz w:val="28"/>
      <w:szCs w:val="28"/>
      <w:lang w:val="ru-RU" w:eastAsia="ru-RU" w:bidi="ar-SA"/>
    </w:rPr>
  </w:style>
  <w:style w:type="character" w:styleId="Style21">
    <w:name w:val="Текст сноски Знак"/>
    <w:qFormat/>
    <w:rPr>
      <w:lang w:val="ru-RU" w:eastAsia="ru-RU" w:bidi="ar-SA"/>
    </w:rPr>
  </w:style>
  <w:style w:type="character" w:styleId="FontStyle20">
    <w:name w:val="Font Style20"/>
    <w:qFormat/>
    <w:rPr>
      <w:rFonts w:ascii="Times New Roman" w:hAnsi="Times New Roman" w:cs="Times New Roman"/>
      <w:sz w:val="26"/>
      <w:szCs w:val="26"/>
    </w:rPr>
  </w:style>
  <w:style w:type="character" w:styleId="Style22">
    <w:name w:val="Текст Знак"/>
    <w:qFormat/>
    <w:rPr>
      <w:rFonts w:ascii="Courier New" w:hAnsi="Courier New" w:cs="Courier New"/>
      <w:lang w:val="ru-RU" w:eastAsia="ru-RU" w:bidi="ar-SA"/>
    </w:rPr>
  </w:style>
  <w:style w:type="character" w:styleId="Style23">
    <w:name w:val="Номер страницы"/>
    <w:basedOn w:val="Style13"/>
    <w:rPr/>
  </w:style>
  <w:style w:type="character" w:styleId="Style24">
    <w:name w:val="Просмотренная гиперссылка"/>
    <w:qFormat/>
    <w:rPr>
      <w:color w:val="800080"/>
      <w:u w:val="single"/>
    </w:rPr>
  </w:style>
  <w:style w:type="character" w:styleId="11">
    <w:name w:val="Заголовок 1 Знак"/>
    <w:qFormat/>
    <w:rPr>
      <w:rFonts w:ascii="Arial" w:hAnsi="Arial"/>
      <w:b/>
      <w:bCs/>
      <w:color w:val="26282F"/>
      <w:sz w:val="24"/>
      <w:szCs w:val="24"/>
    </w:rPr>
  </w:style>
  <w:style w:type="character" w:styleId="Style25">
    <w:name w:val="Абзац списка Знак"/>
    <w:qFormat/>
    <w:rPr>
      <w:sz w:val="24"/>
    </w:rPr>
  </w:style>
  <w:style w:type="character" w:styleId="ConsPlusNormal">
    <w:name w:val="ConsPlusNormal Знак"/>
    <w:qFormat/>
    <w:rPr>
      <w:rFonts w:ascii="Arial" w:hAnsi="Arial" w:cs="Arial"/>
    </w:rPr>
  </w:style>
  <w:style w:type="character" w:styleId="HTML">
    <w:name w:val="Стандартный HTML Знак"/>
    <w:qFormat/>
    <w:rPr>
      <w:rFonts w:ascii="Courier New" w:hAnsi="Courier New" w:cs="Courier New"/>
    </w:rPr>
  </w:style>
  <w:style w:type="character" w:styleId="2">
    <w:name w:val="Основной текст 2 Знак"/>
    <w:qFormat/>
    <w:rPr>
      <w:sz w:val="28"/>
      <w:szCs w:val="28"/>
    </w:rPr>
  </w:style>
  <w:style w:type="character" w:styleId="Style26">
    <w:name w:val="Без интервала Знак"/>
    <w:qFormat/>
    <w:rPr>
      <w:rFonts w:ascii="Calibri" w:hAnsi="Calibri" w:eastAsia="Calibri"/>
      <w:sz w:val="22"/>
      <w:szCs w:val="22"/>
      <w:lang w:eastAsia="en-US"/>
    </w:rPr>
  </w:style>
  <w:style w:type="character" w:styleId="WWCharLFO2LVL1">
    <w:name w:val="WW_CharLFO2LVL1"/>
    <w:qFormat/>
    <w:rPr>
      <w:rFonts w:ascii="Liberation Serif" w:hAnsi="Liberation Serif"/>
      <w:b w:val="false"/>
      <w:color w:val="auto"/>
      <w:sz w:val="28"/>
      <w:szCs w:val="28"/>
    </w:rPr>
  </w:style>
  <w:style w:type="character" w:styleId="Style27">
    <w:name w:val="Привязка сноски"/>
    <w:qFormat/>
    <w:rPr>
      <w:vertAlign w:val="superscript"/>
    </w:rPr>
  </w:style>
  <w:style w:type="character" w:styleId="Style28">
    <w:name w:val="Символ сноски"/>
    <w:qFormat/>
    <w:rPr/>
  </w:style>
  <w:style w:type="character" w:styleId="Style29">
    <w:name w:val="Интернет-ссылка"/>
    <w:rPr>
      <w:color w:val="000080"/>
      <w:u w:val="single"/>
      <w:lang w:val="zxx" w:eastAsia="zxx" w:bidi="zxx"/>
    </w:rPr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31">
    <w:name w:val="Body Text"/>
    <w:basedOn w:val="Style32"/>
    <w:pPr>
      <w:suppressAutoHyphens w:val="true"/>
      <w:spacing w:before="0" w:after="120"/>
    </w:pPr>
    <w:rPr/>
  </w:style>
  <w:style w:type="paragraph" w:styleId="Style3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33">
    <w:name w:val="Текст сноски"/>
    <w:basedOn w:val="Style32"/>
    <w:qFormat/>
    <w:pPr>
      <w:suppressAutoHyphens w:val="true"/>
    </w:pPr>
    <w:rPr>
      <w:sz w:val="20"/>
      <w:szCs w:val="20"/>
    </w:rPr>
  </w:style>
  <w:style w:type="paragraph" w:styleId="Style34">
    <w:name w:val="Прижатый влево"/>
    <w:basedOn w:val="Style32"/>
    <w:next w:val="Style32"/>
    <w:qFormat/>
    <w:pPr>
      <w:suppressAutoHyphens w:val="true"/>
      <w:autoSpaceDE w:val="false"/>
    </w:pPr>
    <w:rPr>
      <w:rFonts w:ascii="Arial" w:hAnsi="Arial"/>
      <w:sz w:val="24"/>
      <w:szCs w:val="24"/>
    </w:rPr>
  </w:style>
  <w:style w:type="paragraph" w:styleId="Style35">
    <w:name w:val="Body Text Indent"/>
    <w:basedOn w:val="Style32"/>
    <w:pPr>
      <w:suppressAutoHyphens w:val="true"/>
      <w:ind w:left="0" w:right="0" w:firstLine="708"/>
      <w:jc w:val="both"/>
    </w:pPr>
    <w:rPr>
      <w:szCs w:val="20"/>
    </w:rPr>
  </w:style>
  <w:style w:type="paragraph" w:styleId="Style36">
    <w:name w:val="Нормальный (таблица)"/>
    <w:basedOn w:val="Style32"/>
    <w:next w:val="Style32"/>
    <w:qFormat/>
    <w:pPr>
      <w:widowControl w:val="false"/>
      <w:suppressAutoHyphens w:val="true"/>
      <w:autoSpaceDE w:val="false"/>
      <w:jc w:val="both"/>
    </w:pPr>
    <w:rPr>
      <w:rFonts w:ascii="Arial" w:hAnsi="Arial"/>
      <w:sz w:val="24"/>
      <w:szCs w:val="24"/>
    </w:rPr>
  </w:style>
  <w:style w:type="paragraph" w:styleId="Style37">
    <w:name w:val="Текст выноски"/>
    <w:basedOn w:val="Style3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3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9">
    <w:name w:val="Head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40">
    <w:name w:val="Footer"/>
    <w:basedOn w:val="Style3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41">
    <w:name w:val="Обычный (веб)"/>
    <w:basedOn w:val="Style32"/>
    <w:qFormat/>
    <w:pPr>
      <w:suppressAutoHyphens w:val="true"/>
      <w:spacing w:before="100" w:after="100"/>
    </w:pPr>
    <w:rPr>
      <w:rFonts w:ascii="Arial" w:hAnsi="Arial" w:cs="Arial"/>
      <w:sz w:val="24"/>
      <w:szCs w:val="24"/>
    </w:rPr>
  </w:style>
  <w:style w:type="paragraph" w:styleId="Style42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43">
    <w:name w:val="Текст"/>
    <w:basedOn w:val="Style32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4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en-US" w:val="ru-RU" w:bidi="ar-SA"/>
    </w:rPr>
  </w:style>
  <w:style w:type="paragraph" w:styleId="Consplusnormal2">
    <w:name w:val="consplusnormal"/>
    <w:basedOn w:val="Style32"/>
    <w:qFormat/>
    <w:pPr>
      <w:tabs>
        <w:tab w:val="clear" w:pos="708"/>
      </w:tabs>
      <w:suppressAutoHyphens w:val="true"/>
      <w:spacing w:lineRule="atLeast" w:line="255"/>
      <w:ind w:left="75" w:right="75" w:firstLine="720"/>
      <w:jc w:val="both"/>
    </w:pPr>
    <w:rPr>
      <w:rFonts w:ascii="Verdana" w:hAnsi="Verdana" w:eastAsia="Calibri"/>
      <w:sz w:val="17"/>
      <w:szCs w:val="17"/>
    </w:rPr>
  </w:style>
  <w:style w:type="paragraph" w:styleId="HTML1">
    <w:name w:val="Стандартный HTML"/>
    <w:basedOn w:val="Style32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</w:rPr>
  </w:style>
  <w:style w:type="paragraph" w:styleId="12">
    <w:name w:val="Без интервала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45">
    <w:name w:val="Абзац списка"/>
    <w:basedOn w:val="Style32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46">
    <w:name w:val="Основной"/>
    <w:basedOn w:val="Style32"/>
    <w:qFormat/>
    <w:pPr>
      <w:suppressAutoHyphens w:val="true"/>
      <w:spacing w:lineRule="auto" w:line="360" w:before="0" w:after="20"/>
      <w:ind w:left="0" w:right="0" w:firstLine="709"/>
      <w:jc w:val="both"/>
    </w:pPr>
    <w:rPr>
      <w:szCs w:val="20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cs="Calibri" w:eastAsia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32"/>
    <w:qFormat/>
    <w:pPr>
      <w:suppressAutoHyphens w:val="true"/>
      <w:spacing w:lineRule="auto" w:line="480" w:before="0" w:after="120"/>
    </w:pPr>
    <w:rPr/>
  </w:style>
  <w:style w:type="paragraph" w:styleId="Style47">
    <w:name w:val="Содержимое врезки"/>
    <w:basedOn w:val="Normal"/>
    <w:qFormat/>
    <w:pPr/>
    <w:rPr/>
  </w:style>
  <w:style w:type="paragraph" w:styleId="Style48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orod-kamyshlov.ru/" TargetMode="External"/><Relationship Id="rId4" Type="http://schemas.openxmlformats.org/officeDocument/2006/relationships/hyperlink" Target="http://gorod-kamyshlov.ru/" TargetMode="External"/><Relationship Id="rId5" Type="http://schemas.openxmlformats.org/officeDocument/2006/relationships/hyperlink" Target="http://gorod-kamyshlov.ru/" TargetMode="External"/><Relationship Id="rId6" Type="http://schemas.openxmlformats.org/officeDocument/2006/relationships/hyperlink" Target="http://gorod-kamyshlov.ru/" TargetMode="External"/><Relationship Id="rId7" Type="http://schemas.openxmlformats.org/officeDocument/2006/relationships/hyperlink" Target="http://gorod-kamyshlov.ru/" TargetMode="External"/><Relationship Id="rId8" Type="http://schemas.openxmlformats.org/officeDocument/2006/relationships/hyperlink" Target="http://gorod-kamyshlov.ru/" TargetMode="External"/><Relationship Id="rId9" Type="http://schemas.openxmlformats.org/officeDocument/2006/relationships/hyperlink" Target="http://gorod-kamyshlov.ru/" TargetMode="External"/><Relationship Id="rId10" Type="http://schemas.openxmlformats.org/officeDocument/2006/relationships/hyperlink" Target="http://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1072</TotalTime>
  <Application>LibreOffice/6.3.4.2$Windows_X86_64 LibreOffice_project/60da17e045e08f1793c57c00ba83cdfce946d0aa</Application>
  <Pages>10</Pages>
  <Words>2015</Words>
  <CharactersWithSpaces>17355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2021-10-11T05:11:00Z</dcterms:created>
  <dc:creator>user</dc:creator>
  <dc:description/>
  <dc:language>ru-RU</dc:language>
  <cp:lastModifiedBy/>
  <cp:lastPrinted>2021-10-20T15:23:03Z</cp:lastPrinted>
  <dcterms:modified xsi:type="dcterms:W3CDTF">2021-10-20T15:23:23Z</dcterms:modified>
  <cp:revision>14</cp:revision>
  <dc:subject/>
  <dc:title>ПАСПОРТ</dc:title>
</cp:coreProperties>
</file>