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header6.xml" ContentType="application/vnd.openxmlformats-officedocument.wordprocessingml.header+xml"/>
  <Override PartName="/word/styles.xml" ContentType="application/vnd.openxmlformats-officedocument.wordprocessingml.styles+xml"/>
  <Override PartName="/word/header4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header5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3"/>
        <w:jc w:val="center"/>
        <w:rPr/>
      </w:pPr>
      <w:r>
        <w:rPr/>
        <w:drawing>
          <wp:inline distT="0" distB="0" distL="0" distR="0">
            <wp:extent cx="485775" cy="75120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65" t="-42" r="-65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33"/>
        <w:jc w:val="center"/>
        <w:rPr/>
      </w:pPr>
      <w:r>
        <w:rPr>
          <w:rStyle w:val="Style12"/>
          <w:rFonts w:cs="Liberation Serif;Times New Roman" w:ascii="Liberation Serif;Times New Roman" w:hAnsi="Liberation Serif;Times New Roman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33"/>
        <w:jc w:val="center"/>
        <w:rPr>
          <w:rFonts w:ascii="Liberation Serif;Times New Roman" w:hAnsi="Liberation Serif;Times New Roman" w:cs="Liberation Serif;Times New Roman"/>
          <w:b/>
          <w:b/>
          <w:sz w:val="28"/>
          <w:szCs w:val="24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4"/>
        </w:rPr>
        <w:t>П О С Т А Н О В Л Е Н И Е</w:t>
      </w:r>
    </w:p>
    <w:p>
      <w:pPr>
        <w:pStyle w:val="Style33"/>
        <w:pBdr>
          <w:top w:val="double" w:sz="12" w:space="1" w:color="000000"/>
        </w:pBdr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;Times New Roman" w:hAnsi="Liberation Serif;Times New Roman" w:cs="Liberation Serif;Times New Roman"/>
          <w:sz w:val="28"/>
          <w:szCs w:val="28"/>
          <w:lang w:val="ru-RU" w:eastAsia="ru-RU"/>
        </w:rPr>
      </w:pP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 xml:space="preserve">от 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01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.1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2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.2021 N 87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4"/>
          <w:lang w:val="ru-RU" w:eastAsia="ru-RU"/>
        </w:rPr>
        <w:t>9</w:t>
      </w:r>
      <w:r>
        <w:rPr>
          <w:rStyle w:val="Style12"/>
          <w:rFonts w:eastAsia="Arial Unicode MS" w:cs="Liberation Serif;Times New Roman" w:ascii="Liberation Serif;Times New Roman" w:hAnsi="Liberation Serif;Times New Roman"/>
          <w:b/>
          <w:bCs/>
          <w:i/>
          <w:iCs/>
          <w:sz w:val="28"/>
          <w:szCs w:val="28"/>
          <w:lang w:val="ru-RU" w:eastAsia="ru-RU"/>
        </w:rPr>
        <w:tab/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  <w:lang w:val="ru-RU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 w:eastAsia="ru-RU"/>
        </w:rPr>
      </w:r>
    </w:p>
    <w:p>
      <w:pPr>
        <w:pStyle w:val="Normal"/>
        <w:jc w:val="center"/>
        <w:rPr>
          <w:rFonts w:ascii="Liberation Serif;Times New Roman" w:hAnsi="Liberation Serif;Times New Roman" w:cs="Liberation Serif;Times New Roman"/>
          <w:sz w:val="28"/>
          <w:szCs w:val="28"/>
          <w:lang w:val="ru-RU" w:eastAsia="ru-RU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  <w:lang w:val="ru-RU" w:eastAsia="ru-RU"/>
        </w:rPr>
      </w:r>
    </w:p>
    <w:p>
      <w:pPr>
        <w:pStyle w:val="ConsPlusTitle"/>
        <w:bidi w:val="0"/>
        <w:ind w:left="0" w:right="0" w:hanging="0"/>
        <w:jc w:val="center"/>
        <w:rPr>
          <w:i w:val="false"/>
          <w:i w:val="false"/>
          <w:iCs w:val="false"/>
        </w:rPr>
      </w:pPr>
      <w:r>
        <w:rPr>
          <w:rFonts w:cs="Liberation Serif;Times New Roman" w:ascii="Liberation Serif;Times New Roman" w:hAnsi="Liberation Serif;Times New Roman"/>
          <w:bCs w:val="false"/>
          <w:i w:val="false"/>
          <w:iCs w:val="false"/>
        </w:rPr>
        <w:t xml:space="preserve">Об утверждении Плана проведения экспертизы нормативных правовых актов администрации </w:t>
      </w:r>
      <w:r>
        <w:rPr>
          <w:rFonts w:cs="Liberation Serif;Times New Roman" w:ascii="Liberation Serif;Times New Roman" w:hAnsi="Liberation Serif;Times New Roman"/>
          <w:i w:val="false"/>
          <w:iCs w:val="false"/>
        </w:rPr>
        <w:t xml:space="preserve">Камышловского городского округа </w:t>
      </w:r>
      <w:r>
        <w:rPr>
          <w:rFonts w:cs="Liberation Serif;Times New Roman" w:ascii="Liberation Serif;Times New Roman" w:hAnsi="Liberation Serif;Times New Roman"/>
          <w:bCs w:val="false"/>
          <w:i w:val="false"/>
          <w:iCs w:val="false"/>
        </w:rPr>
        <w:t xml:space="preserve">на </w:t>
      </w:r>
      <w:r>
        <w:rPr>
          <w:rFonts w:cs="Liberation Serif;Times New Roman" w:ascii="Liberation Serif;Times New Roman" w:hAnsi="Liberation Serif;Times New Roman"/>
          <w:i w:val="false"/>
          <w:iCs w:val="false"/>
        </w:rPr>
        <w:t>202</w:t>
      </w:r>
      <w:r>
        <w:rPr>
          <w:rFonts w:eastAsia="Times New Roman" w:cs="Liberation Serif;Times New Roman" w:ascii="Liberation Serif;Times New Roman" w:hAnsi="Liberation Serif;Times New Roman"/>
          <w:b/>
          <w:bCs/>
          <w:i w:val="false"/>
          <w:iCs w:val="false"/>
          <w:color w:val="auto"/>
          <w:sz w:val="28"/>
          <w:szCs w:val="28"/>
          <w:lang w:val="ru-RU" w:bidi="ar-SA"/>
        </w:rPr>
        <w:t>2</w:t>
      </w:r>
      <w:r>
        <w:rPr>
          <w:rFonts w:cs="Liberation Serif;Times New Roman" w:ascii="Liberation Serif;Times New Roman" w:hAnsi="Liberation Serif;Times New Roman"/>
          <w:i w:val="false"/>
          <w:iCs w:val="false"/>
        </w:rPr>
        <w:t xml:space="preserve"> год</w:t>
      </w:r>
    </w:p>
    <w:p>
      <w:pPr>
        <w:pStyle w:val="Normal"/>
        <w:autoSpaceDE w:val="false"/>
        <w:rPr>
          <w:rFonts w:ascii="Liberation Serif;Times New Roman" w:hAnsi="Liberation Serif;Times New Roman" w:cs="Liberation Serif;Times New Roman"/>
          <w:i/>
          <w:i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i/>
          <w:sz w:val="28"/>
          <w:szCs w:val="28"/>
        </w:rPr>
      </w:r>
    </w:p>
    <w:p>
      <w:pPr>
        <w:pStyle w:val="Normal"/>
        <w:autoSpaceDE w:val="false"/>
        <w:ind w:left="0" w:right="0" w:firstLine="709"/>
        <w:jc w:val="both"/>
        <w:rPr/>
      </w:pPr>
      <w:r>
        <w:rPr>
          <w:rFonts w:eastAsia="Liberation Serif;Times New Roman" w:cs="Liberation Serif;Times New Roman" w:ascii="Liberation Serif;Times New Roman" w:hAnsi="Liberation Serif;Times New Roman"/>
          <w:sz w:val="28"/>
          <w:szCs w:val="28"/>
        </w:rPr>
        <w:t xml:space="preserve"> </w:t>
      </w:r>
      <w:r>
        <w:rPr>
          <w:rFonts w:eastAsia="Calibri" w:cs="Liberation Serif;Times New Roman" w:ascii="Liberation Serif;Times New Roman" w:hAnsi="Liberation Serif;Times New Roman"/>
          <w:sz w:val="28"/>
          <w:szCs w:val="28"/>
        </w:rPr>
        <w:t xml:space="preserve">Во исполнение </w:t>
      </w:r>
      <w:r>
        <w:rPr>
          <w:rStyle w:val="Style16"/>
          <w:rFonts w:eastAsia="Calibri" w:cs="Liberation Serif;Times New Roman" w:ascii="Liberation Serif;Times New Roman" w:hAnsi="Liberation Serif;Times New Roman"/>
          <w:color w:val="000000"/>
          <w:sz w:val="28"/>
          <w:szCs w:val="28"/>
          <w:u w:val="none"/>
        </w:rPr>
        <w:t xml:space="preserve">Закона </w:t>
      </w:r>
      <w:r>
        <w:rPr>
          <w:rFonts w:eastAsia="Calibri" w:cs="Liberation Serif;Times New Roman" w:ascii="Liberation Serif;Times New Roman" w:hAnsi="Liberation Serif;Times New Roman"/>
          <w:sz w:val="28"/>
          <w:szCs w:val="28"/>
        </w:rPr>
        <w:t>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, в соответствии с постановлением администрации Камышловского городского округа от 14.08.2020 года № 532 «О проведении оценки регулирующего воздействия проектов нормативных правовых актов Камышловского городского округа и экспертизы нормативных правовых актов Камышловского городского округа», на основании Устава Камышловского городского округа, администрация Камышловского городского округа</w:t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b/>
          <w:b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sz w:val="28"/>
          <w:szCs w:val="28"/>
        </w:rPr>
        <w:t>ПОСТАНОВЛЯЕТ:</w:t>
      </w:r>
    </w:p>
    <w:p>
      <w:pPr>
        <w:pStyle w:val="Normal"/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1. Утвердить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План проведения экспертизы нормативных правовых актов</w:t>
      </w:r>
      <w:r>
        <w:rPr>
          <w:rFonts w:cs="Liberation Serif;Times New Roman" w:ascii="Liberation Serif;Times New Roman" w:hAnsi="Liberation Serif;Times New Roman"/>
          <w:bCs/>
          <w:color w:val="26282F"/>
          <w:sz w:val="28"/>
          <w:szCs w:val="28"/>
        </w:rPr>
        <w:t xml:space="preserve"> администрации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 xml:space="preserve">Камышловского городского округа на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2022 </w:t>
      </w: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  <w:t>год (прилагается).</w:t>
      </w:r>
    </w:p>
    <w:p>
      <w:pPr>
        <w:pStyle w:val="Normal"/>
        <w:tabs>
          <w:tab w:val="left" w:pos="709" w:leader="none"/>
        </w:tabs>
        <w:ind w:left="0" w:right="0" w:firstLine="709"/>
        <w:jc w:val="both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2. Настоящее постановление опубликовать в газете «Камышловские известия» и разместить на официальном сайте Камышловского городского округа</w:t>
      </w:r>
      <w:r>
        <w:rPr>
          <w:rFonts w:eastAsia="Calibri" w:cs="Liberation Serif;Times New Roman" w:ascii="Liberation Serif;Times New Roman" w:hAnsi="Liberation Serif;Times New Roman"/>
          <w:sz w:val="28"/>
          <w:szCs w:val="28"/>
          <w:lang w:eastAsia="en-US"/>
        </w:rPr>
        <w:t>.</w:t>
      </w:r>
    </w:p>
    <w:p>
      <w:pPr>
        <w:pStyle w:val="Normal"/>
        <w:ind w:left="0" w:right="0" w:firstLine="709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3. Контроль за выполнением настоящего постановления возложить на заместителя главы администрации Камышловского городского округа Власову Е.Н.</w:t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Глава</w:t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sectPr>
          <w:headerReference w:type="default" r:id="rId3"/>
          <w:headerReference w:type="first" r:id="rId4"/>
          <w:type w:val="nextPage"/>
          <w:pgSz w:w="11906" w:h="16838"/>
          <w:pgMar w:left="1701" w:right="567" w:header="1134" w:top="1190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autoSpaceDE w:val="false"/>
        <w:jc w:val="both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tbl>
      <w:tblPr>
        <w:tblW w:w="4358" w:type="dxa"/>
        <w:jc w:val="left"/>
        <w:tblInd w:w="1074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8"/>
      </w:tblGrid>
      <w:tr>
        <w:trPr>
          <w:trHeight w:val="1728" w:hRule="atLeast"/>
        </w:trPr>
        <w:tc>
          <w:tcPr>
            <w:tcW w:w="4358" w:type="dxa"/>
            <w:tcBorders/>
          </w:tcPr>
          <w:p>
            <w:pPr>
              <w:pStyle w:val="Normal"/>
              <w:tabs>
                <w:tab w:val="clear" w:pos="709"/>
                <w:tab w:val="left" w:pos="5325" w:leader="none"/>
                <w:tab w:val="left" w:pos="6960" w:leader="none"/>
              </w:tabs>
              <w:ind w:left="0" w:right="140" w:hanging="0"/>
              <w:jc w:val="left"/>
              <w:rPr/>
            </w:pP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  <w:lang w:val="ru-RU" w:eastAsia="ru-RU"/>
              </w:rPr>
              <w:t xml:space="preserve">                                                                </w:t>
            </w:r>
            <w:r>
              <w:rPr>
                <w:rFonts w:cs="Liberation Serif;Times New Roman" w:ascii="Liberation Serif;Times New Roman" w:hAnsi="Liberation Serif;Times New Roman"/>
                <w:b/>
                <w:bCs/>
                <w:lang w:val="ru-RU" w:eastAsia="ru-RU"/>
              </w:rPr>
              <w:t>УТВЕРЖДЕН</w:t>
            </w:r>
          </w:p>
          <w:p>
            <w:pPr>
              <w:pStyle w:val="Normal"/>
              <w:tabs>
                <w:tab w:val="clear" w:pos="709"/>
                <w:tab w:val="left" w:pos="6960" w:leader="none"/>
              </w:tabs>
              <w:ind w:left="0" w:right="140" w:hanging="0"/>
              <w:jc w:val="left"/>
              <w:rPr>
                <w:rFonts w:ascii="Liberation Serif;Times New Roman" w:hAnsi="Liberation Serif;Times New Roman" w:cs="Liberation Serif;Times New Roman"/>
                <w:lang w:val="ru-RU" w:eastAsia="ru-RU"/>
              </w:rPr>
            </w:pPr>
            <w:r>
              <w:rPr>
                <w:rFonts w:cs="Liberation Serif;Times New Roman" w:ascii="Liberation Serif;Times New Roman" w:hAnsi="Liberation Serif;Times New Roman"/>
                <w:lang w:val="ru-RU" w:eastAsia="ru-RU"/>
              </w:rPr>
              <w:t xml:space="preserve">постановлением администрации Камышловского городского округа </w:t>
            </w:r>
          </w:p>
          <w:p>
            <w:pPr>
              <w:pStyle w:val="Normal"/>
              <w:tabs>
                <w:tab w:val="clear" w:pos="709"/>
                <w:tab w:val="left" w:pos="6960" w:leader="none"/>
              </w:tabs>
              <w:ind w:left="0" w:right="140" w:hanging="0"/>
              <w:jc w:val="left"/>
              <w:rPr/>
            </w:pPr>
            <w:r>
              <w:rPr>
                <w:rFonts w:cs="Liberation Serif;Times New Roman" w:ascii="Liberation Serif;Times New Roman" w:hAnsi="Liberation Serif;Times New Roman"/>
                <w:lang w:val="ru-RU" w:eastAsia="ru-RU"/>
              </w:rPr>
              <w:t xml:space="preserve">от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01.12.</w:t>
            </w:r>
            <w:r>
              <w:rPr>
                <w:rFonts w:cs="Liberation Serif;Times New Roman" w:ascii="Liberation Serif;Times New Roman" w:hAnsi="Liberation Serif;Times New Roman"/>
                <w:lang w:val="ru-RU" w:eastAsia="ru-RU"/>
              </w:rPr>
              <w:t>202</w:t>
            </w:r>
            <w:r>
              <w:rPr>
                <w:rFonts w:cs="Liberation Serif;Times New Roman" w:ascii="Liberation Serif;Times New Roman" w:hAnsi="Liberation Serif;Times New Roman"/>
                <w:lang w:val="ru-RU" w:eastAsia="ru-RU"/>
              </w:rPr>
              <w:t>1</w:t>
            </w:r>
            <w:r>
              <w:rPr>
                <w:rFonts w:cs="Liberation Serif;Times New Roman" w:ascii="Liberation Serif;Times New Roman" w:hAnsi="Liberation Serif;Times New Roman"/>
                <w:lang w:val="ru-RU" w:eastAsia="ru-RU"/>
              </w:rPr>
              <w:t xml:space="preserve"> года № </w:t>
            </w: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4"/>
                <w:szCs w:val="24"/>
                <w:lang w:val="ru-RU" w:eastAsia="ru-RU" w:bidi="ar-SA"/>
              </w:rPr>
              <w:t>879</w:t>
            </w:r>
          </w:p>
        </w:tc>
      </w:tr>
    </w:tbl>
    <w:p>
      <w:pPr>
        <w:pStyle w:val="Normal"/>
        <w:tabs>
          <w:tab w:val="clear" w:pos="709"/>
          <w:tab w:val="left" w:pos="0" w:leader="none"/>
        </w:tabs>
        <w:ind w:left="0" w:right="-598" w:hanging="0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План</w:t>
      </w:r>
    </w:p>
    <w:p>
      <w:pPr>
        <w:pStyle w:val="Normal"/>
        <w:autoSpaceDE w:val="false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>проведения экспертизы нормативных правовых актов</w:t>
      </w:r>
    </w:p>
    <w:p>
      <w:pPr>
        <w:pStyle w:val="Normal"/>
        <w:autoSpaceDE w:val="false"/>
        <w:jc w:val="center"/>
        <w:rPr/>
      </w:pPr>
      <w:r>
        <w:rPr>
          <w:rFonts w:cs="Liberation Serif;Times New Roman" w:ascii="Liberation Serif;Times New Roman" w:hAnsi="Liberation Serif;Times New Roman"/>
          <w:sz w:val="28"/>
          <w:szCs w:val="28"/>
        </w:rPr>
        <w:t xml:space="preserve">администрации Камышловского городского округа </w:t>
      </w:r>
      <w:r>
        <w:rPr>
          <w:rFonts w:cs="Liberation Serif;Times New Roman" w:ascii="Liberation Serif;Times New Roman" w:hAnsi="Liberation Serif;Times New Roman"/>
          <w:bCs/>
          <w:sz w:val="28"/>
          <w:szCs w:val="28"/>
        </w:rPr>
        <w:t xml:space="preserve">на </w:t>
      </w:r>
      <w:r>
        <w:rPr>
          <w:rFonts w:cs="Liberation Serif;Times New Roman" w:ascii="Liberation Serif;Times New Roman" w:hAnsi="Liberation Serif;Times New Roman"/>
          <w:sz w:val="28"/>
          <w:szCs w:val="28"/>
        </w:rPr>
        <w:t>2022 год</w:t>
      </w:r>
    </w:p>
    <w:p>
      <w:pPr>
        <w:pStyle w:val="Normal"/>
        <w:autoSpaceDE w:val="false"/>
        <w:jc w:val="center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tbl>
      <w:tblPr>
        <w:tblW w:w="15316" w:type="dxa"/>
        <w:jc w:val="left"/>
        <w:tblInd w:w="-2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1"/>
        <w:gridCol w:w="5684"/>
        <w:gridCol w:w="3261"/>
        <w:gridCol w:w="3930"/>
        <w:gridCol w:w="1780"/>
      </w:tblGrid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№</w:t>
            </w:r>
            <w:r>
              <w:rPr>
                <w:rFonts w:eastAsia="Liberation Serif;Times New Roman" w:cs="Liberation Serif;Times New Roman" w:ascii="Liberation Serif;Times New Roman" w:hAnsi="Liberation Serif;Times New Roman"/>
                <w:sz w:val="28"/>
                <w:szCs w:val="28"/>
              </w:rPr>
              <w:t xml:space="preserve">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п/п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Реквизиты нормативного правового акта (вид, дата, номер, наименование)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Анализируемая сфера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Разработчик нормативного правового акта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Дата начала проведения экспертизы</w:t>
            </w:r>
          </w:p>
        </w:tc>
      </w:tr>
      <w:tr>
        <w:trPr/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Направление «Экспертиза»</w:t>
            </w:r>
          </w:p>
        </w:tc>
      </w:tr>
      <w:tr>
        <w:trPr>
          <w:trHeight w:val="3687" w:hRule="atLeast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3"/>
              <w:widowControl/>
              <w:suppressAutoHyphens w:val="false"/>
              <w:ind w:left="0" w:right="0" w:hanging="0"/>
              <w:jc w:val="both"/>
              <w:textAlignment w:val="auto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Решение Думы Камышловского городского округа от 18.02.2021 №574 «О внесении изменений в Правила землепользования и застройки Камышловского городского округа, утвержденные решением Думы Камышловского городского округа от 25.05.2017 года №116»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земельные отношения и градостроительство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 квартал 2022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Постановление главы КГО от 06.10.2017 года   № 912 «Об утверждении порядка предоставления из бюджета  Камышловского городского округа субсидий организациям или индивидуальным предпринимателям, являющимися исполнителями коммунальных услуг, в целях возмещения затрат, связанных с предоставлением гражданам, проживающим на территории  Камышловского городского округа, меры социальной поддержки по частичному освобождению от платы за коммунальные услуги»</w:t>
            </w:r>
          </w:p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8"/>
                <w:szCs w:val="28"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II квартал 2022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3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Постановление администрации Камышловского городского округа №178 от 17.03.2021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  <w:p>
            <w:pPr>
              <w:pStyle w:val="Normal"/>
              <w:ind w:left="0" w:right="0" w:firstLine="72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Style33"/>
              <w:suppressAutoHyphens w:val="false"/>
              <w:autoSpaceDE w:val="false"/>
              <w:bidi w:val="0"/>
              <w:jc w:val="center"/>
              <w:textAlignment w:val="auto"/>
              <w:rPr>
                <w:rFonts w:ascii="Liberation Serif;Times New Roman" w:hAnsi="Liberation Serif;Times New Roman" w:cs="Liberation Serif;Times New Roman"/>
                <w:color w:val="000000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color w:val="000000"/>
                <w:sz w:val="28"/>
                <w:szCs w:val="28"/>
              </w:rPr>
              <w:t>земельные отношения и градостроительство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II квартал 2022 года</w:t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4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 xml:space="preserve">Постановление главы администрации Камышловского городского округа от 09.08.2017 года  № 744 «О внесении изменений в Положение  о порядке размещения наружной рекламы на территории Камышловского городского округа, утвержденное постановлением  главы Камышловского городского округа </w:t>
            </w:r>
          </w:p>
          <w:p>
            <w:pPr>
              <w:pStyle w:val="Normal"/>
              <w:autoSpaceDE w:val="false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от 17.02.2015 года № 243»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8"/>
                <w:szCs w:val="28"/>
                <w:lang w:val="ru-RU" w:eastAsia="zh-CN" w:bidi="ar-SA"/>
              </w:rPr>
              <w:t>наружная реклама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val="en-US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квартал 2022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5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i w:val="false"/>
                <w:iCs w:val="false"/>
                <w:sz w:val="28"/>
                <w:szCs w:val="28"/>
              </w:rPr>
              <w:t>Постановление администрации Камышловского городского округа от 15.03.2021 года №169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  <w:p>
            <w:pPr>
              <w:pStyle w:val="Normal"/>
              <w:autoSpaceDE w:val="false"/>
              <w:ind w:left="0" w:right="0" w:hanging="0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земельные отношения и градостроительство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архитектуры и градостроительства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IV квартал 2022 года</w:t>
            </w:r>
          </w:p>
        </w:tc>
      </w:tr>
      <w:tr>
        <w:trPr/>
        <w:tc>
          <w:tcPr>
            <w:tcW w:w="153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b/>
                <w:b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b/>
                <w:sz w:val="28"/>
                <w:szCs w:val="28"/>
              </w:rPr>
              <w:t>Направление «Оценка фактического воздействия»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1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Решение Думы Камышловского городского округа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 xml:space="preserve">№170 от 26.10.2017 «О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>в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 xml:space="preserve">несении изменений и дополнений 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в Положение «О порядке формирования, ведения и обязательного опубликования перечня муниципального имущества, предназначенного для оказания имущественной поддержки субъектам малого и среднего предпринимательства в Камышловском городском округе», утвержденное решением Думы Камышловского городского округа от 19.08.2016 года №670» </w:t>
            </w:r>
          </w:p>
          <w:p>
            <w:pPr>
              <w:pStyle w:val="ListParagraph"/>
              <w:autoSpaceDE w:val="false"/>
              <w:spacing w:lineRule="auto" w:line="240" w:before="0" w:after="0"/>
              <w:ind w:left="720" w:right="0" w:hanging="0"/>
              <w:contextualSpacing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имущественной поддержки субъектам малого и среднего предпринимательства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 квартал 2022 года</w:t>
            </w:r>
          </w:p>
        </w:tc>
      </w:tr>
      <w:tr>
        <w:trPr/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2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both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Постановление администрации Камышловского городского округа от 20.05.2019 </w:t>
            </w:r>
            <w:r>
              <w:rPr>
                <w:rFonts w:cs="Liberation Serif;Times New Roman" w:ascii="Liberation Serif;Times New Roman" w:hAnsi="Liberation Serif;Times New Roman"/>
                <w:b w:val="false"/>
                <w:bCs w:val="false"/>
                <w:sz w:val="28"/>
                <w:szCs w:val="28"/>
              </w:rPr>
              <w:t>№426 «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Об утверждении Порядка проведения конкурсного отбора проектов инициативного бюджетирования и состава конкурсной комиссии в Камышловском городском округе»</w:t>
            </w:r>
          </w:p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инициативное бюджетирование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экономики администрации Камышловского городского округа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val="en-US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квартал 2022 года</w:t>
            </w:r>
          </w:p>
        </w:tc>
      </w:tr>
      <w:tr>
        <w:trPr/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8"/>
                <w:szCs w:val="28"/>
                <w:lang w:val="ru-RU" w:eastAsia="zh-CN" w:bidi="ar-SA"/>
              </w:rPr>
              <w:t>3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Постановление администрации Камышловского городского округа от 13.06.2019 №539 «Об утверждении Положения о размещении нестационарных торговых объектов на территории Камышловского городского округа»</w:t>
            </w:r>
          </w:p>
          <w:p>
            <w:pPr>
              <w:pStyle w:val="Normal"/>
              <w:autoSpaceDE w:val="false"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8"/>
                <w:szCs w:val="28"/>
                <w:lang w:val="ru-RU" w:eastAsia="zh-CN" w:bidi="ar-SA"/>
              </w:rPr>
              <w:t>земельные отношения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val="en-US"/>
              </w:rPr>
              <w:t>II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квартал 2022 года</w:t>
            </w:r>
          </w:p>
        </w:tc>
      </w:tr>
      <w:tr>
        <w:trPr>
          <w:trHeight w:val="3578" w:hRule="atLeast"/>
        </w:trPr>
        <w:tc>
          <w:tcPr>
            <w:tcW w:w="6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4</w:t>
            </w:r>
          </w:p>
        </w:tc>
        <w:tc>
          <w:tcPr>
            <w:tcW w:w="56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ListParagraph"/>
              <w:autoSpaceDE w:val="false"/>
              <w:spacing w:lineRule="auto" w:line="240" w:before="0" w:after="0"/>
              <w:ind w:left="0" w:right="0" w:hanging="0"/>
              <w:contextualSpacing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Постановление администрации Камышловского городского округа от 23.09.2019 №818 «Об утверждении Порядка предоставления субсидий из бюджета Камышловского городского округа на возмещение затрат в связи с выполнением работ по переносу сетей (опор) электроснабжения на территории Камышловского городского округа для осуществления полномочий органа местного самоуправления»</w:t>
            </w:r>
          </w:p>
          <w:p>
            <w:pPr>
              <w:pStyle w:val="ListParagraph"/>
              <w:autoSpaceDE w:val="false"/>
              <w:spacing w:lineRule="auto" w:line="240" w:before="0" w:after="0"/>
              <w:ind w:left="720" w:right="0" w:hanging="0"/>
              <w:contextualSpacing/>
              <w:jc w:val="both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eastAsia="Times New Roman" w:cs="Liberation Serif;Times New Roman"/>
                <w:color w:val="auto"/>
                <w:sz w:val="28"/>
                <w:szCs w:val="28"/>
                <w:lang w:val="ru-RU" w:eastAsia="zh-CN" w:bidi="ar-SA"/>
              </w:rPr>
            </w:pPr>
            <w:r>
              <w:rPr>
                <w:rFonts w:eastAsia="Times New Roman" w:cs="Liberation Serif;Times New Roman" w:ascii="Liberation Serif;Times New Roman" w:hAnsi="Liberation Serif;Times New Roman"/>
                <w:color w:val="auto"/>
                <w:sz w:val="28"/>
                <w:szCs w:val="28"/>
                <w:lang w:val="ru-RU" w:eastAsia="zh-CN" w:bidi="ar-SA"/>
              </w:rPr>
              <w:t>жилищно-коммунальное хозяйство</w:t>
            </w:r>
          </w:p>
        </w:tc>
        <w:tc>
          <w:tcPr>
            <w:tcW w:w="393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rFonts w:ascii="Liberation Serif;Times New Roman" w:hAnsi="Liberation Serif;Times New Roman" w:cs="Liberation Serif;Times New Roman"/>
                <w:sz w:val="28"/>
                <w:szCs w:val="28"/>
              </w:rPr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>отдел жилищно-коммунального и городского хозяйства администрации Камышловского городского округа</w:t>
            </w:r>
          </w:p>
        </w:tc>
        <w:tc>
          <w:tcPr>
            <w:tcW w:w="1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/>
            </w:pP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  <w:lang w:val="en-US"/>
              </w:rPr>
              <w:t>IV</w:t>
            </w:r>
            <w:r>
              <w:rPr>
                <w:rFonts w:cs="Liberation Serif;Times New Roman" w:ascii="Liberation Serif;Times New Roman" w:hAnsi="Liberation Serif;Times New Roman"/>
                <w:sz w:val="28"/>
                <w:szCs w:val="28"/>
              </w:rPr>
              <w:t xml:space="preserve"> квартал 2022 года</w:t>
            </w:r>
          </w:p>
        </w:tc>
      </w:tr>
    </w:tbl>
    <w:p>
      <w:pPr>
        <w:sectPr>
          <w:headerReference w:type="default" r:id="rId5"/>
          <w:headerReference w:type="first" r:id="rId6"/>
          <w:type w:val="nextPage"/>
          <w:pgSz w:orient="landscape" w:w="16838" w:h="11906"/>
          <w:pgMar w:left="992" w:right="249" w:header="709" w:top="1418" w:footer="0" w:bottom="851" w:gutter="0"/>
          <w:pgNumType w:fmt="decimal"/>
          <w:formProt w:val="false"/>
          <w:titlePg/>
          <w:textDirection w:val="lrTb"/>
          <w:docGrid w:type="default" w:linePitch="360" w:charSpace="0"/>
        </w:sectPr>
      </w:pPr>
    </w:p>
    <w:p>
      <w:pPr>
        <w:pStyle w:val="Normal"/>
        <w:autoSpaceDE w:val="false"/>
        <w:jc w:val="center"/>
        <w:rPr>
          <w:rFonts w:ascii="Liberation Serif;Times New Roman" w:hAnsi="Liberation Serif;Times New Roman" w:cs="Liberation Serif;Times New Roman"/>
          <w:bCs/>
          <w:color w:val="000000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Cs/>
          <w:color w:val="000000"/>
          <w:sz w:val="28"/>
          <w:szCs w:val="28"/>
        </w:rPr>
      </w:r>
    </w:p>
    <w:sectPr>
      <w:headerReference w:type="default" r:id="rId7"/>
      <w:headerReference w:type="first" r:id="rId8"/>
      <w:type w:val="nextPage"/>
      <w:pgSz w:w="11906" w:h="16838"/>
      <w:pgMar w:left="1418" w:right="851" w:header="709" w:top="765" w:footer="0" w:bottom="992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variable"/>
  </w:font>
  <w:font w:name="Calibri Light">
    <w:charset w:val="01"/>
    <w:family w:val="swiss"/>
    <w:pitch w:val="variable"/>
  </w:font>
  <w:font w:name="Segoe UI">
    <w:charset w:val="01"/>
    <w:family w:val="swiss"/>
    <w:pitch w:val="variable"/>
  </w:font>
  <w:font w:name="Arial">
    <w:charset w:val="01"/>
    <w:family w:val="swiss"/>
    <w:pitch w:val="variable"/>
  </w:font>
  <w:font w:name="Verdana"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Style25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Style25"/>
      <w:jc w:val="center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8</w:t>
    </w:r>
    <w:r>
      <w:rPr/>
      <w:fldChar w:fldCharType="end"/>
    </w:r>
  </w:p>
  <w:p>
    <w:pPr>
      <w:pStyle w:val="Style25"/>
      <w:jc w:val="center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eastAsia="zh-CN" w:bidi="ar-SA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b w:val="false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>
      <w:rFonts w:ascii="Symbol" w:hAnsi="Symbol" w:cs="Symbol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color w:val="00000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Style12">
    <w:name w:val="Основной шрифт абзаца"/>
    <w:qFormat/>
    <w:rPr/>
  </w:style>
  <w:style w:type="character" w:styleId="Style13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4">
    <w:name w:val="Верхний колонтитул Знак"/>
    <w:basedOn w:val="Style12"/>
    <w:qFormat/>
    <w:rPr/>
  </w:style>
  <w:style w:type="character" w:styleId="Style15">
    <w:name w:val="Название Знак"/>
    <w:qFormat/>
    <w:rPr>
      <w:sz w:val="24"/>
    </w:rPr>
  </w:style>
  <w:style w:type="character" w:styleId="61">
    <w:name w:val="Заголовок 6 Знак"/>
    <w:qFormat/>
    <w:rPr>
      <w:b/>
      <w:bCs/>
      <w:sz w:val="22"/>
      <w:szCs w:val="22"/>
    </w:rPr>
  </w:style>
  <w:style w:type="character" w:styleId="Style16">
    <w:name w:val="Интернет-ссылка"/>
    <w:rPr>
      <w:color w:val="0563C1"/>
      <w:u w:val="single"/>
    </w:rPr>
  </w:style>
  <w:style w:type="character" w:styleId="21">
    <w:name w:val="Заголовок 2 Знак"/>
    <w:qFormat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character" w:styleId="Style17">
    <w:name w:val="Нижний колонтитул Знак"/>
    <w:qFormat/>
    <w:rPr>
      <w:sz w:val="24"/>
      <w:szCs w:val="24"/>
    </w:rPr>
  </w:style>
  <w:style w:type="paragraph" w:styleId="Style18">
    <w:name w:val="Заголовок"/>
    <w:basedOn w:val="Normal"/>
    <w:next w:val="Style19"/>
    <w:qFormat/>
    <w:pPr>
      <w:overflowPunct w:val="false"/>
      <w:autoSpaceDE w:val="false"/>
      <w:ind w:left="0" w:right="0" w:firstLine="567"/>
      <w:jc w:val="center"/>
      <w:textAlignment w:val="baseline"/>
    </w:pPr>
    <w:rPr>
      <w:szCs w:val="20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widowControl w:val="false"/>
      <w:tabs>
        <w:tab w:val="clear" w:pos="709"/>
        <w:tab w:val="center" w:pos="4677" w:leader="none"/>
        <w:tab w:val="right" w:pos="9355" w:leader="none"/>
      </w:tabs>
      <w:autoSpaceDE w:val="false"/>
    </w:pPr>
    <w:rPr>
      <w:sz w:val="20"/>
      <w:szCs w:val="20"/>
    </w:rPr>
  </w:style>
  <w:style w:type="paragraph" w:styleId="Style26">
    <w:name w:val="Абзац списка"/>
    <w:basedOn w:val="Normal"/>
    <w:qFormat/>
    <w:pPr>
      <w:spacing w:before="0" w:after="0"/>
      <w:ind w:left="720" w:right="0" w:hanging="0"/>
      <w:contextualSpacing/>
    </w:pPr>
    <w:rPr>
      <w:rFonts w:eastAsia="Calibri"/>
      <w:sz w:val="28"/>
      <w:szCs w:val="22"/>
    </w:rPr>
  </w:style>
  <w:style w:type="paragraph" w:styleId="ConsPlusNormal">
    <w:name w:val="ConsPlusNormal"/>
    <w:qFormat/>
    <w:pPr>
      <w:widowControl w:val="false"/>
      <w:suppressAutoHyphens w:val="true"/>
      <w:kinsoku w:val="true"/>
      <w:overflowPunct w:val="true"/>
      <w:autoSpaceDE w:val="false"/>
      <w:bidi w:val="0"/>
      <w:ind w:left="0" w:right="0" w:firstLine="720"/>
    </w:pPr>
    <w:rPr>
      <w:rFonts w:ascii="Arial" w:hAnsi="Arial" w:eastAsia="Times New Roman" w:cs="Arial"/>
      <w:color w:val="auto"/>
      <w:sz w:val="20"/>
      <w:szCs w:val="20"/>
      <w:lang w:val="ru-RU" w:eastAsia="zh-CN" w:bidi="ar-SA"/>
    </w:rPr>
  </w:style>
  <w:style w:type="paragraph" w:styleId="ConsPlusTitle">
    <w:name w:val="ConsPlusTitle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Times New Roman" w:hAnsi="Times New Roman" w:eastAsia="Times New Roman" w:cs="Times New Roman"/>
      <w:b/>
      <w:bCs/>
      <w:color w:val="auto"/>
      <w:sz w:val="28"/>
      <w:szCs w:val="28"/>
      <w:lang w:val="ru-RU" w:eastAsia="zh-CN" w:bidi="ar-SA"/>
    </w:rPr>
  </w:style>
  <w:style w:type="paragraph" w:styleId="Style27">
    <w:name w:val="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8">
    <w:name w:val="Знак Знак"/>
    <w:basedOn w:val="Normal"/>
    <w:qFormat/>
    <w:pPr/>
    <w:rPr>
      <w:rFonts w:ascii="Verdana" w:hAnsi="Verdana" w:cs="Verdana"/>
      <w:sz w:val="20"/>
      <w:szCs w:val="20"/>
      <w:lang w:val="en-US"/>
    </w:rPr>
  </w:style>
  <w:style w:type="paragraph" w:styleId="Style29">
    <w:name w:val="Footer"/>
    <w:basedOn w:val="Normal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Знак Знак Знак Знак"/>
    <w:basedOn w:val="Normal"/>
    <w:qFormat/>
    <w:pPr>
      <w:spacing w:lineRule="exact" w:line="240" w:before="0" w:after="160"/>
    </w:pPr>
    <w:rPr>
      <w:rFonts w:ascii="Arial" w:hAnsi="Arial" w:cs="Arial"/>
      <w:sz w:val="20"/>
      <w:szCs w:val="20"/>
      <w:lang w:val="en-US"/>
    </w:rPr>
  </w:style>
  <w:style w:type="paragraph" w:styleId="Style31">
    <w:name w:val="Содержимое таблицы"/>
    <w:basedOn w:val="Normal"/>
    <w:qFormat/>
    <w:pPr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paragraph" w:styleId="Style33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PT Astra Serif" w:hAnsi="PT Astra Serif" w:eastAsia="Tahoma" w:cs="Noto Sans Devanagari"/>
      <w:color w:val="auto"/>
      <w:sz w:val="24"/>
      <w:szCs w:val="24"/>
      <w:lang w:val="ru-RU" w:eastAsia="zh-CN" w:bidi="hi-I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header" Target="header5.xml"/><Relationship Id="rId8" Type="http://schemas.openxmlformats.org/officeDocument/2006/relationships/header" Target="header6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1252</TotalTime>
  <Application>LibreOffice/6.4.7.2$Linux_X86_64 LibreOffice_project/40$Build-2</Application>
  <Pages>6</Pages>
  <Words>693</Words>
  <Characters>5343</Characters>
  <CharactersWithSpaces>6085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2017-12-26T10:51:00Z</dcterms:created>
  <dc:creator>economica</dc:creator>
  <dc:description/>
  <dc:language>ru-RU</dc:language>
  <cp:lastModifiedBy/>
  <cp:lastPrinted>2021-12-01T13:43:59Z</cp:lastPrinted>
  <dcterms:modified xsi:type="dcterms:W3CDTF">2021-12-01T13:45:16Z</dcterms:modified>
  <cp:revision>47</cp:revision>
  <dc:subject/>
  <dc:title>План</dc:title>
</cp:coreProperties>
</file>