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ind w:left="0" w:right="0" w:hanging="0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ind w:left="0" w:right="0" w:hanging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20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0"/>
        <w:tabs>
          <w:tab w:val="clear" w:pos="708"/>
        </w:tabs>
        <w:suppressAutoHyphens w:val="true"/>
        <w:ind w:left="0" w:right="0" w:hanging="0"/>
        <w:jc w:val="both"/>
        <w:rPr>
          <w:rFonts w:ascii="Liberation Serif" w:hAnsi="Liberation Serif"/>
        </w:rPr>
      </w:pP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 xml:space="preserve">от </w:t>
      </w:r>
      <w:r>
        <w:rPr>
          <w:rStyle w:val="Style14"/>
          <w:rFonts w:eastAsia="Noto Sans Devanagari" w:cs="Liberation Serif;Times New Roman" w:ascii="Liberation Serif" w:hAnsi="Liberation Serif"/>
          <w:b/>
          <w:bCs/>
          <w:i w:val="false"/>
          <w:iCs w:val="false"/>
          <w:color w:val="auto"/>
          <w:spacing w:val="-1"/>
          <w:kern w:val="2"/>
          <w:sz w:val="28"/>
          <w:szCs w:val="28"/>
          <w:lang w:val="ru-RU" w:eastAsia="hi-IN" w:bidi="ar-SA"/>
        </w:rPr>
        <w:t>2</w:t>
      </w:r>
      <w:r>
        <w:rPr>
          <w:rStyle w:val="Style14"/>
          <w:rFonts w:eastAsia="Noto Sans Devanagari" w:cs="Liberation Serif;Times New Roman" w:ascii="Liberation Serif" w:hAnsi="Liberation Serif"/>
          <w:b/>
          <w:bCs/>
          <w:i w:val="false"/>
          <w:iCs w:val="false"/>
          <w:color w:val="auto"/>
          <w:spacing w:val="-1"/>
          <w:kern w:val="2"/>
          <w:sz w:val="28"/>
          <w:szCs w:val="28"/>
          <w:lang w:val="ru-RU" w:eastAsia="hi-IN" w:bidi="ar-SA"/>
        </w:rPr>
        <w:t>6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>.01.2022 N 5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>8</w:t>
      </w:r>
    </w:p>
    <w:p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 внесении изменений в бюджетный прогноз Камышловского </w:t>
      </w:r>
    </w:p>
    <w:p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на долгосрочный период до 2025 года, утвержденный постановлением администрации Камышловского городского округа </w:t>
      </w:r>
    </w:p>
    <w:p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от 20.01.2020 № 29 «Об утверждении бюджетного прогноза Камышловского городского округа на долгосрочный период до 2025 года»</w:t>
      </w:r>
    </w:p>
    <w:p>
      <w:pPr>
        <w:pStyle w:val="Style20"/>
        <w:autoSpaceDE w:val="false"/>
        <w:ind w:left="0" w:right="0"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autoSpaceDE w:val="false"/>
        <w:ind w:left="0" w:right="0"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с пунктом 10 Порядка разработки и утверждения бюджетного прогноза Камышловского городского округа на долгосрочный период, утвержденного постановлением главы Камышловского городского округа от 22.07.2016 № 787 «Об утверждении Порядка разработки и утверждения бюджетного прогноза Камышловского городского округа на долгосрочный период», в целях осуществления долгосрочного бюджетного планирования, администрация Камышловского городского округа </w:t>
      </w:r>
    </w:p>
    <w:p>
      <w:pPr>
        <w:pStyle w:val="Style20"/>
        <w:autoSpaceDE w:val="false"/>
        <w:ind w:left="0" w:right="0" w:hanging="0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ПОСТАНОВЛ</w:t>
      </w:r>
      <w:r>
        <w:rPr>
          <w:rFonts w:ascii="Liberation Serif" w:hAnsi="Liberation Serif"/>
          <w:b/>
        </w:rPr>
        <w:t>ЯЕТ</w:t>
      </w:r>
      <w:r>
        <w:rPr>
          <w:rFonts w:ascii="Liberation Serif" w:hAnsi="Liberation Serif"/>
          <w:b/>
        </w:rPr>
        <w:t>:</w:t>
      </w:r>
    </w:p>
    <w:p>
      <w:pPr>
        <w:pStyle w:val="Style20"/>
        <w:suppressAutoHyphens w:val="true"/>
        <w:autoSpaceDE w:val="false"/>
        <w:ind w:left="0" w:right="0"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</w:rPr>
        <w:t xml:space="preserve">1. </w:t>
      </w:r>
      <w:r>
        <w:rPr>
          <w:rFonts w:ascii="Liberation Serif" w:hAnsi="Liberation Serif"/>
          <w:b w:val="false"/>
        </w:rPr>
        <w:t>Внести в бюджетный прогноз Камышловского городского округа на долгосрочный период до 2025 года, утвержденный постановлением главы Камышловского городского округа от 20.01.2020 № 29 «Об утверждении бюджетного прогноза Камышловского городского округа на долгосрочный период до 2025 года» следующие изменения:</w:t>
      </w:r>
    </w:p>
    <w:p>
      <w:pPr>
        <w:pStyle w:val="Style20"/>
        <w:suppressAutoHyphens w:val="true"/>
        <w:autoSpaceDE w:val="false"/>
        <w:ind w:left="0" w:right="0"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>форму 1 изложить в новой редакции (прилагается);</w:t>
      </w:r>
    </w:p>
    <w:p>
      <w:pPr>
        <w:pStyle w:val="Style20"/>
        <w:suppressAutoHyphens w:val="true"/>
        <w:autoSpaceDE w:val="false"/>
        <w:ind w:left="0" w:right="0"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>
        <w:rPr>
          <w:rFonts w:ascii="Liberation Serif" w:hAnsi="Liberation Serif"/>
        </w:rPr>
        <w:t>форму 2 изложить в новой редакции (прилагается);</w:t>
      </w:r>
    </w:p>
    <w:p>
      <w:pPr>
        <w:pStyle w:val="Style20"/>
        <w:suppressAutoHyphens w:val="true"/>
        <w:autoSpaceDE w:val="false"/>
        <w:ind w:left="0" w:right="0"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>
        <w:rPr>
          <w:rFonts w:ascii="Liberation Serif" w:hAnsi="Liberation Serif"/>
        </w:rPr>
        <w:t>Настоящее постановление опубликовать в газете «Камышловские известия» и разместить на официальном сайте Камышловского городского округа в информационно - телекоммуникационной сети «Интернет».</w:t>
      </w:r>
    </w:p>
    <w:p>
      <w:pPr>
        <w:pStyle w:val="Style20"/>
        <w:suppressAutoHyphens w:val="true"/>
        <w:autoSpaceDE w:val="false"/>
        <w:ind w:left="0" w:right="0"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>
        <w:rPr>
          <w:rFonts w:ascii="Liberation Serif" w:hAnsi="Liberation Serif"/>
        </w:rPr>
        <w:t>Контроль за исполнением настоящего постановления оставляю за собой.</w:t>
      </w:r>
    </w:p>
    <w:p>
      <w:pPr>
        <w:pStyle w:val="Style20"/>
        <w:autoSpaceDE w:val="false"/>
        <w:ind w:left="0" w:right="0" w:firstLine="540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ConsPlusNormal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1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</w:p>
    <w:p>
      <w:pPr>
        <w:sectPr>
          <w:type w:val="nextPage"/>
          <w:pgSz w:w="11906" w:h="16838"/>
          <w:pgMar w:left="1701" w:right="567" w:header="0" w:top="709" w:footer="0" w:bottom="709" w:gutter="0"/>
          <w:pgNumType w:fmt="decimal"/>
          <w:formProt w:val="false"/>
          <w:textDirection w:val="lrTb"/>
          <w:docGrid w:type="default" w:linePitch="600" w:charSpace="40960"/>
        </w:sectPr>
        <w:pStyle w:val="ConsPlusNormal1"/>
        <w:rPr>
          <w:rFonts w:ascii="Liberation Serif" w:hAnsi="Liberation Serif"/>
        </w:rPr>
      </w:pPr>
      <w:r>
        <w:rPr>
          <w:rFonts w:ascii="Liberation Serif" w:hAnsi="Liberation Serif"/>
        </w:rPr>
        <w:t>Камышловского городского округа                                               А.В. Половников</w:t>
      </w:r>
    </w:p>
    <w:p>
      <w:pPr>
        <w:pStyle w:val="ConsPlusNormal1"/>
        <w:tabs>
          <w:tab w:val="clear" w:pos="708"/>
        </w:tabs>
        <w:ind w:left="10206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</w:t>
      </w:r>
    </w:p>
    <w:p>
      <w:pPr>
        <w:pStyle w:val="ConsPlusNormal1"/>
        <w:tabs>
          <w:tab w:val="clear" w:pos="708"/>
        </w:tabs>
        <w:ind w:left="10206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к бюджетному прогнозу Камышловского городского округа</w:t>
      </w:r>
    </w:p>
    <w:p>
      <w:pPr>
        <w:pStyle w:val="ConsPlusNormal1"/>
        <w:tabs>
          <w:tab w:val="clear" w:pos="708"/>
        </w:tabs>
        <w:ind w:left="10206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на долгосрочный период до 2025 года</w:t>
      </w:r>
    </w:p>
    <w:p>
      <w:pPr>
        <w:pStyle w:val="ConsPlusNormal1"/>
        <w:rPr>
          <w:rFonts w:ascii="Liberation Serif" w:hAnsi="Liberation Serif"/>
        </w:rPr>
      </w:pPr>
      <w:r>
        <w:rPr>
          <w:rFonts w:ascii="Liberation Serif" w:hAnsi="Liberation Serif"/>
        </w:rPr>
        <w:t>форма 1</w:t>
      </w:r>
    </w:p>
    <w:p>
      <w:pPr>
        <w:pStyle w:val="ConsPlusNormal1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1"/>
        <w:jc w:val="center"/>
        <w:rPr>
          <w:rFonts w:ascii="Liberation Serif" w:hAnsi="Liberation Serif"/>
        </w:rPr>
      </w:pPr>
      <w:bookmarkStart w:id="0" w:name="P90"/>
      <w:bookmarkEnd w:id="0"/>
      <w:r>
        <w:rPr>
          <w:rFonts w:ascii="Liberation Serif" w:hAnsi="Liberation Serif"/>
        </w:rPr>
        <w:t>ПРОГНОЗ</w:t>
      </w:r>
    </w:p>
    <w:p>
      <w:pPr>
        <w:pStyle w:val="ConsPlusNormal1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ОСНОВНЫХ ХАРАКТЕРИСТИК И ПОКАЗАТЕЛЕЙ БЮДЖЕТА КАМЫШЛОВСКОГО ГОРОДСКОГО ОКРУГА</w:t>
      </w:r>
    </w:p>
    <w:p>
      <w:pPr>
        <w:pStyle w:val="ConsPlusNormal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1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(тыс. рублей)</w:t>
      </w:r>
    </w:p>
    <w:tbl>
      <w:tblPr>
        <w:tblW w:w="5000" w:type="pct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26"/>
        <w:gridCol w:w="4016"/>
        <w:gridCol w:w="1582"/>
        <w:gridCol w:w="1542"/>
        <w:gridCol w:w="1565"/>
        <w:gridCol w:w="1582"/>
        <w:gridCol w:w="1583"/>
        <w:gridCol w:w="1574"/>
      </w:tblGrid>
      <w:tr>
        <w:trPr/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N строки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Показатель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</w:t>
            </w:r>
          </w:p>
        </w:tc>
      </w:tr>
      <w:tr>
        <w:trPr>
          <w:trHeight w:val="244" w:hRule="atLeast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Общий объем доходов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1 025 080,3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1 116 965,0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1 221 364,5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1 250 519,4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1 210 000,4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1 112 947,0</w:t>
            </w:r>
          </w:p>
        </w:tc>
      </w:tr>
      <w:tr>
        <w:trPr/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Общий объем расходов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1 034 947,1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1 116 965,0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1 232 570,0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1 250 519,4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1 210 000,4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1 112 947,0</w:t>
            </w:r>
          </w:p>
        </w:tc>
      </w:tr>
      <w:tr>
        <w:trPr/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Дефицит/профицит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9 866,8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11 205,5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Муниципальный долг Камышловского городского округа на 01 января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28 038,2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51 288,7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31 314,8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47 417,4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55 589,8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64 146,3</w:t>
            </w:r>
          </w:p>
        </w:tc>
      </w:tr>
    </w:tbl>
    <w:p>
      <w:pPr>
        <w:pStyle w:val="ConsPlusNormal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1"/>
        <w:rPr>
          <w:rFonts w:ascii="Liberation Serif" w:hAnsi="Liberation Serif"/>
        </w:rPr>
      </w:pPr>
      <w:r>
        <w:rPr>
          <w:rFonts w:ascii="Liberation Serif" w:hAnsi="Liberation Serif"/>
        </w:rPr>
        <w:t>Форма 2</w:t>
      </w:r>
    </w:p>
    <w:p>
      <w:pPr>
        <w:pStyle w:val="ConsPlusNormal1"/>
        <w:jc w:val="center"/>
        <w:rPr>
          <w:rFonts w:ascii="Liberation Serif" w:hAnsi="Liberation Serif"/>
        </w:rPr>
      </w:pPr>
      <w:bookmarkStart w:id="1" w:name="P246"/>
      <w:bookmarkEnd w:id="1"/>
      <w:r>
        <w:rPr>
          <w:rFonts w:ascii="Liberation Serif" w:hAnsi="Liberation Serif"/>
        </w:rPr>
        <w:t>ПОКАЗАТЕЛИ</w:t>
      </w:r>
    </w:p>
    <w:p>
      <w:pPr>
        <w:pStyle w:val="ConsPlusNormal1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ФИНАНСОВОГО ОБЕСПЕЧЕНИЯ МУНИЦИПАЛЬНЫХ ПРОГРАММ</w:t>
      </w:r>
    </w:p>
    <w:p>
      <w:pPr>
        <w:pStyle w:val="ConsPlusNormal1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КАМЫШЛОВСКОГО ГОРОДСКОГО ОКРУГА НА ПЕРИОД ИХ ДЕЙСТВИЯ ЗА СЧЕТ </w:t>
      </w:r>
    </w:p>
    <w:p>
      <w:pPr>
        <w:pStyle w:val="ConsPlusNormal1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СРЕДСТВ МЕСТНОГО БЮДЖЕТА</w:t>
      </w:r>
    </w:p>
    <w:p>
      <w:pPr>
        <w:pStyle w:val="ConsPlusNormal1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(тыс. рублей)</w:t>
      </w:r>
    </w:p>
    <w:tbl>
      <w:tblPr>
        <w:tblW w:w="14694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14"/>
        <w:gridCol w:w="5852"/>
        <w:gridCol w:w="1276"/>
        <w:gridCol w:w="1308"/>
        <w:gridCol w:w="1290"/>
        <w:gridCol w:w="1312"/>
        <w:gridCol w:w="1318"/>
        <w:gridCol w:w="1324"/>
      </w:tblGrid>
      <w:tr>
        <w:trPr/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N строки</w:t>
            </w:r>
          </w:p>
        </w:tc>
        <w:tc>
          <w:tcPr>
            <w:tcW w:w="5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муниципальной программы Камышловского городского округа</w:t>
            </w:r>
          </w:p>
        </w:tc>
        <w:tc>
          <w:tcPr>
            <w:tcW w:w="7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Расходы местного бюджета на финансовое обеспечение реализации муниципальных программ</w:t>
            </w:r>
          </w:p>
        </w:tc>
      </w:tr>
      <w:tr>
        <w:trPr/>
        <w:tc>
          <w:tcPr>
            <w:tcW w:w="1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</w:t>
            </w:r>
          </w:p>
        </w:tc>
      </w:tr>
      <w:tr>
        <w:trPr/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социально-экономического комплекса Камышловского городского округа до 2020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219 342,1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Повышение эффективности управления муниципальной собственностью Камышловского городского округа до 2020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17 727,2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образования, культуры, спорта и молодежной политики в Камышловском городском округе до 2020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672 578,8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Формирование современной городской среды на территории Камышловского городского округа на 2017-2024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4 187,9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61 049,1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31 245,8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603,8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603,8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социально-экономического комплекса Камышловского городского округа на 2021 - 2027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264 832,7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305 936,1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333 968,4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241 964,9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192 948,9</w:t>
            </w:r>
          </w:p>
        </w:tc>
      </w:tr>
      <w:tr>
        <w:trPr/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образования, культуры, спорта и молодежной политики в Камышловском городском округе до 2027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685 708,3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772 219,2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778 157,8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800 206,8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754 140,5</w:t>
            </w:r>
          </w:p>
        </w:tc>
      </w:tr>
      <w:tr>
        <w:trPr/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Повышение эффективности управления муниципальной собственностью Камышловского городского округа на 2021-2027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9 583,5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2 410,0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2 429,1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2 448,6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3 000,0</w:t>
            </w:r>
          </w:p>
        </w:tc>
      </w:tr>
      <w:tr>
        <w:trPr/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Профилактика терроризма, а также минимизация и (или) ликвидация последствий его проявлений в Камышловском городском округе на 2022 - 2028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290,6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302,2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314,3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290,0</w:t>
            </w:r>
          </w:p>
        </w:tc>
      </w:tr>
      <w:tr>
        <w:trPr/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Профилактика экстремизма и гармонизация межнациональных и межконфессиональных отношений в Камышловском городском округе до 2028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180,6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180,6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180,6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200,0</w:t>
            </w:r>
          </w:p>
        </w:tc>
      </w:tr>
      <w:tr>
        <w:trPr/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913 836,0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1 021 173,6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1 112 282,3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1 115 641,9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1 045 719,0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950 579,40</w:t>
            </w:r>
          </w:p>
        </w:tc>
      </w:tr>
    </w:tbl>
    <w:p>
      <w:pPr>
        <w:pStyle w:val="ConsPlusNormal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3"/>
      <w:type w:val="nextPage"/>
      <w:pgSz w:orient="landscape" w:w="16838" w:h="11905"/>
      <w:pgMar w:left="1134" w:right="1134" w:header="1701" w:top="2023" w:footer="0" w:bottom="56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Calibri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5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qFormat/>
    <w:rPr>
      <w:sz w:val="28"/>
      <w:lang w:bidi="ar-SA"/>
    </w:rPr>
  </w:style>
  <w:style w:type="character" w:styleId="Style15">
    <w:name w:val="Название Знак"/>
    <w:qFormat/>
    <w:rPr>
      <w:sz w:val="28"/>
      <w:szCs w:val="28"/>
      <w:u w:val="single"/>
    </w:rPr>
  </w:style>
  <w:style w:type="character" w:styleId="Style16">
    <w:name w:val="Основной текст_"/>
    <w:qFormat/>
    <w:rPr>
      <w:sz w:val="27"/>
      <w:szCs w:val="27"/>
      <w:highlight w:val="white"/>
    </w:rPr>
  </w:style>
  <w:style w:type="character" w:styleId="11">
    <w:name w:val="Основной текст + 11"/>
    <w:qFormat/>
    <w:rPr>
      <w:b/>
      <w:bCs/>
      <w:smallCaps/>
      <w:color w:val="000000"/>
      <w:spacing w:val="0"/>
      <w:w w:val="100"/>
      <w:position w:val="0"/>
      <w:sz w:val="23"/>
      <w:sz w:val="23"/>
      <w:szCs w:val="23"/>
      <w:highlight w:val="white"/>
      <w:vertAlign w:val="baseline"/>
      <w:lang w:val="ru-RU"/>
    </w:rPr>
  </w:style>
  <w:style w:type="character" w:styleId="111">
    <w:name w:val="Основной текст + 111"/>
    <w:qFormat/>
    <w:rPr>
      <w:b/>
      <w:bCs/>
      <w:color w:val="000000"/>
      <w:spacing w:val="0"/>
      <w:w w:val="100"/>
      <w:position w:val="0"/>
      <w:sz w:val="23"/>
      <w:sz w:val="23"/>
      <w:szCs w:val="23"/>
      <w:highlight w:val="white"/>
      <w:vertAlign w:val="baseline"/>
      <w:lang w:val="ru-RU"/>
    </w:rPr>
  </w:style>
  <w:style w:type="character" w:styleId="14pt">
    <w:name w:val="Основной текст + 14 pt"/>
    <w:qFormat/>
    <w:rPr>
      <w:i/>
      <w:iCs/>
      <w:color w:val="000000"/>
      <w:spacing w:val="0"/>
      <w:w w:val="100"/>
      <w:position w:val="0"/>
      <w:sz w:val="28"/>
      <w:sz w:val="28"/>
      <w:szCs w:val="28"/>
      <w:highlight w:val="white"/>
      <w:vertAlign w:val="baseline"/>
    </w:rPr>
  </w:style>
  <w:style w:type="character" w:styleId="Style17">
    <w:name w:val="Верхний колонтитул Знак"/>
    <w:basedOn w:val="Style14"/>
    <w:qFormat/>
    <w:rPr>
      <w:sz w:val="28"/>
      <w:szCs w:val="28"/>
    </w:rPr>
  </w:style>
  <w:style w:type="character" w:styleId="Style18">
    <w:name w:val="Нижний колонтитул Знак"/>
    <w:basedOn w:val="Style14"/>
    <w:qFormat/>
    <w:rPr>
      <w:sz w:val="28"/>
      <w:szCs w:val="28"/>
    </w:rPr>
  </w:style>
  <w:style w:type="character" w:styleId="Style19">
    <w:name w:val="Текст выноски Знак"/>
    <w:basedOn w:val="Style14"/>
    <w:qFormat/>
    <w:rPr>
      <w:rFonts w:ascii="Tahoma" w:hAnsi="Tahoma" w:cs="Tahoma"/>
      <w:sz w:val="16"/>
      <w:szCs w:val="16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ConsPlusTitlePage">
    <w:name w:val="ConsPlusTitlePag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ahoma" w:hAnsi="Tahoma" w:cs="Tahoma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Style22">
    <w:name w:val="Caption"/>
    <w:basedOn w:val="Style20"/>
    <w:qFormat/>
    <w:pPr>
      <w:suppressAutoHyphens w:val="true"/>
      <w:jc w:val="center"/>
    </w:pPr>
    <w:rPr>
      <w:u w:val="single"/>
    </w:rPr>
  </w:style>
  <w:style w:type="paragraph" w:styleId="2">
    <w:name w:val="Основной текст2"/>
    <w:basedOn w:val="Style20"/>
    <w:qFormat/>
    <w:pPr>
      <w:widowControl w:val="false"/>
      <w:shd w:fill="FFFFFF" w:val="clear"/>
      <w:suppressAutoHyphens w:val="true"/>
      <w:spacing w:lineRule="exact" w:line="326" w:before="300" w:after="0"/>
      <w:jc w:val="both"/>
    </w:pPr>
    <w:rPr>
      <w:sz w:val="27"/>
      <w:szCs w:val="27"/>
      <w:highlight w:val="white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7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4</Pages>
  <Words>601</Words>
  <Characters>3466</Characters>
  <CharactersWithSpaces>3950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2022-01-25T05:35:00Z</dcterms:created>
  <dc:creator>Меньшенина Татьяна Борисовна</dc:creator>
  <dc:description/>
  <dc:language>ru-RU</dc:language>
  <cp:lastModifiedBy/>
  <cp:lastPrinted>2022-01-26T16:36:43Z</cp:lastPrinted>
  <dcterms:modified xsi:type="dcterms:W3CDTF">2022-01-26T16:37:10Z</dcterms:modified>
  <cp:revision>4</cp:revision>
  <dc:subject/>
  <dc:title>Документ предоставлен КонсультантПлюс</dc:title>
</cp:coreProperties>
</file>