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numPr>
          <w:ilvl w:val="0"/>
          <w:numId w:val="0"/>
        </w:numPr>
        <w:ind w:left="1414" w:right="0" w:hanging="0"/>
        <w:jc w:val="center"/>
        <w:rPr/>
      </w:pPr>
      <w:r>
        <w:rPr/>
        <w:drawing>
          <wp:inline distT="0" distB="0" distL="0" distR="0">
            <wp:extent cx="478790" cy="74104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42" r="-65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3"/>
        <w:numPr>
          <w:ilvl w:val="0"/>
          <w:numId w:val="0"/>
        </w:numPr>
        <w:ind w:left="1414" w:right="0" w:hanging="0"/>
        <w:jc w:val="center"/>
        <w:rPr/>
      </w:pPr>
      <w:r>
        <w:rPr>
          <w:rStyle w:val="Style15"/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3"/>
        <w:numPr>
          <w:ilvl w:val="0"/>
          <w:numId w:val="0"/>
        </w:numPr>
        <w:ind w:left="1414" w:hanging="0"/>
        <w:jc w:val="center"/>
        <w:rPr>
          <w:rFonts w:ascii="Liberation Serif" w:hAnsi="Liberation Serif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3"/>
        <w:widowControl/>
        <w:numPr>
          <w:ilvl w:val="0"/>
          <w:numId w:val="0"/>
        </w:numPr>
        <w:pBdr>
          <w:top w:val="double" w:sz="12" w:space="1" w:color="000000"/>
        </w:pBdr>
        <w:suppressAutoHyphens w:val="true"/>
        <w:bidi w:val="0"/>
        <w:spacing w:before="0" w:after="0"/>
        <w:ind w:left="1414" w:right="0" w:hanging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Style w:val="Style15"/>
          <w:rFonts w:eastAsia="Liberation Serif;Times New Roman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ru-RU"/>
        </w:rPr>
        <w:t>от 28.02.2022 N 15</w:t>
      </w:r>
      <w:r>
        <w:rPr>
          <w:rStyle w:val="Style15"/>
          <w:rFonts w:eastAsia="Liberation Serif;Times New Roman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ru-RU"/>
        </w:rPr>
        <w:t>7</w:t>
      </w:r>
      <w:r>
        <w:rPr>
          <w:rFonts w:eastAsia="Calibri" w:cs="Liberation Serif;Times New Roman" w:ascii="Liberation Serif" w:hAnsi="Liberation Serif"/>
          <w:b/>
          <w:bCs/>
          <w:i/>
          <w:iCs/>
          <w:color w:val="000000"/>
          <w:spacing w:val="-5"/>
          <w:kern w:val="2"/>
          <w:sz w:val="28"/>
          <w:szCs w:val="28"/>
          <w:lang w:eastAsia="en-US"/>
        </w:rPr>
        <w:t xml:space="preserve">                                  </w:t>
      </w:r>
      <w:r>
        <w:rPr>
          <w:rFonts w:eastAsia="Calibri" w:cs="Liberation Serif;Times New Roma" w:ascii="Liberation Serif" w:hAnsi="Liberation Serif"/>
          <w:b/>
          <w:bCs/>
          <w:i/>
          <w:iCs/>
          <w:color w:val="000000"/>
          <w:spacing w:val="-5"/>
          <w:kern w:val="2"/>
          <w:sz w:val="28"/>
          <w:szCs w:val="28"/>
          <w:lang w:eastAsia="en-US"/>
        </w:rPr>
        <w:t xml:space="preserve"> </w:t>
      </w:r>
    </w:p>
    <w:p>
      <w:pPr>
        <w:pStyle w:val="Normal"/>
        <w:jc w:val="center"/>
        <w:rPr>
          <w:rFonts w:ascii="Liberation Serif" w:hAnsi="Liberation Serif"/>
        </w:rPr>
      </w:pPr>
      <w:r>
        <w:rPr/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Об утверждении Плана мероприятий </w:t>
      </w:r>
    </w:p>
    <w:p>
      <w:pPr>
        <w:pStyle w:val="Normal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__DdeLink__7066_3918278058"/>
      <w:r>
        <w:rPr>
          <w:rFonts w:cs="Times New Roman" w:ascii="Liberation Serif" w:hAnsi="Liberation Serif"/>
          <w:b/>
          <w:bCs/>
          <w:sz w:val="28"/>
          <w:szCs w:val="28"/>
        </w:rPr>
        <w:t xml:space="preserve">по укреплению общественного здоровья на территории </w:t>
      </w:r>
    </w:p>
    <w:p>
      <w:pPr>
        <w:pStyle w:val="Normal"/>
        <w:jc w:val="center"/>
        <w:rPr>
          <w:rFonts w:ascii="Liberation Serif" w:hAnsi="Liberation Serif" w:cs="Times New Roman"/>
          <w:sz w:val="28"/>
          <w:szCs w:val="28"/>
        </w:rPr>
      </w:pPr>
      <w:bookmarkStart w:id="1" w:name="__DdeLink__7066_3918278058"/>
      <w:r>
        <w:rPr>
          <w:rFonts w:cs="Times New Roman" w:ascii="Liberation Serif" w:hAnsi="Liberation Serif"/>
          <w:b/>
          <w:bCs/>
          <w:sz w:val="28"/>
          <w:szCs w:val="28"/>
        </w:rPr>
        <w:t>Камышловского городского округа в 2022 году</w:t>
      </w:r>
      <w:bookmarkEnd w:id="1"/>
    </w:p>
    <w:p>
      <w:pPr>
        <w:pStyle w:val="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  <w:color w:val="111111"/>
        </w:rPr>
      </w:pPr>
      <w:r>
        <w:rPr>
          <w:rFonts w:cs="Times New Roman" w:ascii="Liberation Serif" w:hAnsi="Liberation Serif"/>
          <w:color w:val="111111"/>
          <w:sz w:val="28"/>
          <w:szCs w:val="28"/>
        </w:rPr>
        <w:t>В соответствии с Указом Президента Российской Федерации</w:t>
        <w:br/>
        <w:t>от 7 мая 2018 года № 204 «О национальных целях и стратегических задачах развития Российской Федерации на период до 2024 года», паспортом национального проекта «Демография», утвержденным президиумом Совета при Президенте Российской Федерации по стратегическому развитию и национальным проектам (протокол от 24.12.2018 № 16), паспортом регионального проекта «Формирование системы мотивации граждан к здоровому образу жизни, включая здоровое питание и отказ от вредны привычек», утвержденным Советом при Губернаторе Свердловской области (протокол от 17.12.2018 № 18), во исполнение распоряжения Правительства Свердловской области от 02.11.2020 № 565-РП «Об утверждении типового проекта муниципальной программы «Укрепление общественного здоровья на 2020–2024 годы»,  администрация Камышловского городского округа</w:t>
      </w:r>
    </w:p>
    <w:p>
      <w:pPr>
        <w:pStyle w:val="Normal"/>
        <w:jc w:val="both"/>
        <w:rPr>
          <w:rFonts w:ascii="Liberation Serif" w:hAnsi="Liberation Serif"/>
          <w:color w:val="111111"/>
        </w:rPr>
      </w:pPr>
      <w:r>
        <w:rPr>
          <w:rFonts w:cs="Times New Roman" w:ascii="Liberation Serif" w:hAnsi="Liberation Serif"/>
          <w:b/>
          <w:color w:val="111111"/>
          <w:sz w:val="28"/>
          <w:szCs w:val="28"/>
        </w:rPr>
        <w:t>ПОСТАНОВЛЯЕТ:</w:t>
      </w:r>
    </w:p>
    <w:p>
      <w:pPr>
        <w:pStyle w:val="ListParagraph"/>
        <w:numPr>
          <w:ilvl w:val="0"/>
          <w:numId w:val="2"/>
        </w:numPr>
        <w:spacing w:before="0" w:after="0"/>
        <w:ind w:left="0" w:firstLine="709"/>
        <w:contextualSpacing/>
        <w:jc w:val="both"/>
        <w:rPr>
          <w:rFonts w:ascii="Liberation Serif" w:hAnsi="Liberation Serif"/>
          <w:color w:val="111111"/>
        </w:rPr>
      </w:pPr>
      <w:r>
        <w:rPr>
          <w:rFonts w:cs="Times New Roman" w:ascii="Liberation Serif" w:hAnsi="Liberation Serif"/>
          <w:color w:val="111111"/>
          <w:sz w:val="28"/>
          <w:szCs w:val="28"/>
        </w:rPr>
        <w:t xml:space="preserve">Утвердить </w:t>
      </w:r>
      <w:r>
        <w:rPr>
          <w:rFonts w:cs="Times New Roman" w:ascii="Liberation Serif" w:hAnsi="Liberation Serif"/>
          <w:bCs/>
          <w:color w:val="111111"/>
          <w:sz w:val="28"/>
          <w:szCs w:val="28"/>
        </w:rPr>
        <w:t>План мероприятий по укреплению общественного здоровья населения на территории Камышловского городского округа в 2022 году (прилагается).</w:t>
      </w:r>
    </w:p>
    <w:p>
      <w:pPr>
        <w:pStyle w:val="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color w:val="111111"/>
          <w:sz w:val="28"/>
          <w:szCs w:val="28"/>
        </w:rPr>
        <w:t>2. Опубликовать настоящее постановление в газете «Камышловские известия» и на официальном сайте администрации Камышловского городского округа.</w:t>
      </w:r>
    </w:p>
    <w:p>
      <w:pPr>
        <w:pStyle w:val="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color w:val="111111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ind w:left="709" w:hanging="0"/>
        <w:jc w:val="both"/>
        <w:rPr>
          <w:rFonts w:ascii="Liberation Serif" w:hAnsi="Liberation Serif" w:cs="Times New Roman"/>
          <w:color w:val="111111"/>
          <w:sz w:val="28"/>
          <w:szCs w:val="28"/>
        </w:rPr>
      </w:pPr>
      <w:r>
        <w:rPr>
          <w:rFonts w:cs="Times New Roman" w:ascii="Liberation Serif" w:hAnsi="Liberation Serif"/>
          <w:color w:val="111111"/>
          <w:sz w:val="28"/>
          <w:szCs w:val="28"/>
        </w:rPr>
      </w:r>
    </w:p>
    <w:p>
      <w:pPr>
        <w:pStyle w:val="Normal"/>
        <w:ind w:left="709" w:hanging="0"/>
        <w:jc w:val="both"/>
        <w:rPr>
          <w:rFonts w:ascii="Liberation Serif" w:hAnsi="Liberation Serif" w:cs="Times New Roman"/>
          <w:color w:val="111111"/>
          <w:sz w:val="28"/>
          <w:szCs w:val="28"/>
        </w:rPr>
      </w:pPr>
      <w:r>
        <w:rPr>
          <w:rFonts w:cs="Times New Roman" w:ascii="Liberation Serif" w:hAnsi="Liberation Serif"/>
          <w:color w:val="111111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color w:val="111111"/>
          <w:sz w:val="28"/>
          <w:szCs w:val="28"/>
        </w:rPr>
        <w:t>И.о. главы администрации</w:t>
      </w:r>
    </w:p>
    <w:p>
      <w:pPr>
        <w:pStyle w:val="Normal"/>
        <w:jc w:val="both"/>
        <w:rPr>
          <w:rFonts w:ascii="Liberation Serif" w:hAnsi="Liberation Serif" w:cs="Times New Roman"/>
          <w:color w:val="111111"/>
          <w:sz w:val="28"/>
          <w:szCs w:val="28"/>
        </w:rPr>
      </w:pPr>
      <w:r>
        <w:rPr>
          <w:rFonts w:cs="Times New Roman" w:ascii="Liberation Serif" w:hAnsi="Liberation Serif"/>
          <w:color w:val="111111"/>
          <w:sz w:val="28"/>
          <w:szCs w:val="28"/>
        </w:rPr>
        <w:t>Камышловского городского округа                                                       Е.Н. Власова</w:t>
      </w:r>
    </w:p>
    <w:p>
      <w:pPr>
        <w:pStyle w:val="Normal"/>
        <w:jc w:val="both"/>
        <w:rPr>
          <w:rFonts w:ascii="Liberation Serif" w:hAnsi="Liberation Serif" w:cs="Times New Roman"/>
          <w:color w:val="111111"/>
          <w:sz w:val="28"/>
          <w:szCs w:val="28"/>
        </w:rPr>
      </w:pPr>
      <w:r>
        <w:rPr>
          <w:rFonts w:cs="Times New Roman" w:ascii="Liberation Serif" w:hAnsi="Liberation Serif"/>
          <w:color w:val="111111"/>
          <w:sz w:val="28"/>
          <w:szCs w:val="28"/>
        </w:rPr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191" w:footer="0" w:bottom="1134" w:gutter="0"/>
          <w:pgNumType w:fmt="decimal"/>
          <w:formProt w:val="false"/>
          <w:textDirection w:val="lrTb"/>
          <w:docGrid w:type="default" w:linePitch="360" w:charSpace="12288"/>
        </w:sectPr>
        <w:pStyle w:val="Normal"/>
        <w:jc w:val="both"/>
        <w:rPr>
          <w:rFonts w:ascii="Liberation Serif" w:hAnsi="Liberation Serif" w:cs="Times New Roman"/>
          <w:color w:val="111111"/>
          <w:sz w:val="28"/>
          <w:szCs w:val="28"/>
        </w:rPr>
      </w:pPr>
      <w:r>
        <w:rPr>
          <w:rFonts w:cs="Times New Roman" w:ascii="Liberation Serif" w:hAnsi="Liberation Serif"/>
          <w:color w:val="111111"/>
          <w:sz w:val="28"/>
          <w:szCs w:val="28"/>
        </w:rPr>
      </w:r>
    </w:p>
    <w:p>
      <w:pPr>
        <w:pStyle w:val="Normal"/>
        <w:ind w:hanging="0"/>
        <w:jc w:val="both"/>
        <w:rPr>
          <w:rFonts w:cs="Times New Roman"/>
          <w:sz w:val="28"/>
          <w:szCs w:val="28"/>
        </w:rPr>
      </w:pPr>
      <w:bookmarkStart w:id="2" w:name="_GoBack"/>
      <w:bookmarkEnd w:id="2"/>
      <w:r>
        <w:rPr>
          <w:rFonts w:cs="Times New Roman" w:ascii="Liberation Serif" w:hAnsi="Liberation Serif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cs="Times New Roman" w:ascii="Liberation Serif" w:hAnsi="Liberation Serif"/>
          <w:b/>
          <w:bCs/>
          <w:sz w:val="28"/>
          <w:szCs w:val="28"/>
        </w:rPr>
        <w:t>УТВЕРЖДЕН</w:t>
      </w:r>
    </w:p>
    <w:p>
      <w:pPr>
        <w:pStyle w:val="Normal"/>
        <w:ind w:hanging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cs="Times New Roman" w:ascii="Liberation Serif" w:hAnsi="Liberation Serif"/>
          <w:sz w:val="28"/>
          <w:szCs w:val="28"/>
        </w:rPr>
        <w:t>постановлением администрации</w:t>
      </w:r>
    </w:p>
    <w:p>
      <w:pPr>
        <w:pStyle w:val="Normal"/>
        <w:ind w:hanging="0"/>
        <w:jc w:val="both"/>
        <w:rPr>
          <w:rFonts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Normal"/>
        <w:ind w:hanging="0"/>
        <w:jc w:val="both"/>
        <w:rPr>
          <w:rFonts w:ascii="Liberation Serif" w:hAnsi="Liberation Serif" w:cs="Times New Roman"/>
          <w:color w:val="111111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cs="Times New Roman" w:ascii="Liberation Serif" w:hAnsi="Liberation Serif"/>
          <w:sz w:val="28"/>
          <w:szCs w:val="28"/>
        </w:rPr>
        <w:t xml:space="preserve">от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 xml:space="preserve">28.02.2022 </w:t>
      </w:r>
      <w:r>
        <w:rPr>
          <w:rFonts w:cs="Times New Roman" w:ascii="Liberation Serif" w:hAnsi="Liberation Serif"/>
          <w:sz w:val="28"/>
          <w:szCs w:val="28"/>
        </w:rPr>
        <w:t xml:space="preserve">№ </w:t>
      </w:r>
      <w:r>
        <w:rPr>
          <w:rFonts w:cs="Times New Roman" w:ascii="Liberation Serif" w:hAnsi="Liberation Serif"/>
          <w:sz w:val="28"/>
          <w:szCs w:val="28"/>
        </w:rPr>
        <w:t>157</w:t>
      </w:r>
      <w:r>
        <w:rPr>
          <w:rFonts w:cs="Times New Roman" w:ascii="Liberation Serif" w:hAnsi="Liberation Serif"/>
          <w:sz w:val="28"/>
          <w:szCs w:val="28"/>
        </w:rPr>
        <w:t xml:space="preserve">   </w:t>
      </w:r>
    </w:p>
    <w:p>
      <w:pPr>
        <w:pStyle w:val="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ind w:firstLine="709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План мероприятий по укреплению общественного здоровья населения </w:t>
      </w:r>
    </w:p>
    <w:p>
      <w:pPr>
        <w:pStyle w:val="Normal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на территории Камышловского городского округа в 2022 году</w:t>
      </w:r>
    </w:p>
    <w:p>
      <w:pPr>
        <w:pStyle w:val="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Style w:val="ae"/>
        <w:tblW w:w="151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30"/>
        <w:gridCol w:w="14"/>
        <w:gridCol w:w="4034"/>
        <w:gridCol w:w="6"/>
        <w:gridCol w:w="2443"/>
        <w:gridCol w:w="2478"/>
        <w:gridCol w:w="2494"/>
        <w:gridCol w:w="2827"/>
      </w:tblGrid>
      <w:tr>
        <w:trPr>
          <w:tblHeader w:val="true"/>
        </w:trPr>
        <w:tc>
          <w:tcPr>
            <w:tcW w:w="83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Liberation Serif" w:hAnsi="Liberation Serif"/>
                <w:b/>
                <w:sz w:val="28"/>
                <w:szCs w:val="28"/>
              </w:rPr>
              <w:t>п/п</w:t>
            </w:r>
          </w:p>
        </w:tc>
        <w:tc>
          <w:tcPr>
            <w:tcW w:w="4048" w:type="dxa"/>
            <w:gridSpan w:val="2"/>
            <w:tcBorders/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49" w:type="dxa"/>
            <w:gridSpan w:val="2"/>
            <w:tcBorders/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sz w:val="28"/>
                <w:szCs w:val="28"/>
              </w:rPr>
              <w:t>Ответственные организаторы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sz w:val="28"/>
                <w:szCs w:val="28"/>
              </w:rPr>
              <w:t>Финансирование мероприятия, в тыс. руб.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sz w:val="28"/>
                <w:szCs w:val="28"/>
              </w:rPr>
              <w:t>Результаты достигаемые в ходе выполнения мероприятия</w:t>
            </w:r>
          </w:p>
        </w:tc>
      </w:tr>
      <w:tr>
        <w:trPr>
          <w:tblHeader w:val="true"/>
        </w:trPr>
        <w:tc>
          <w:tcPr>
            <w:tcW w:w="83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4048" w:type="dxa"/>
            <w:gridSpan w:val="2"/>
            <w:tcBorders/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2449" w:type="dxa"/>
            <w:gridSpan w:val="2"/>
            <w:tcBorders/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sz w:val="28"/>
                <w:szCs w:val="28"/>
              </w:rPr>
              <w:t>3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sz w:val="28"/>
                <w:szCs w:val="28"/>
              </w:rPr>
              <w:t>4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sz w:val="28"/>
                <w:szCs w:val="28"/>
              </w:rPr>
              <w:t>5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15126" w:type="dxa"/>
            <w:gridSpan w:val="8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sz w:val="28"/>
                <w:szCs w:val="28"/>
              </w:rPr>
              <w:t>Организационные мероприятия, направление на межведомственное взаимодействие</w:t>
            </w:r>
          </w:p>
        </w:tc>
      </w:tr>
      <w:tr>
        <w:trPr/>
        <w:tc>
          <w:tcPr>
            <w:tcW w:w="830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4048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Проведение межведомственных комиссий и совещаний Камышловского городского округа с рассмотрением вопросов и мероприятий по укреплению общественного здоровья на территории Камышловского городского округа </w:t>
            </w:r>
          </w:p>
        </w:tc>
        <w:tc>
          <w:tcPr>
            <w:tcW w:w="2449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течении года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Администрация Камышловского городского округа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Не предусмотрено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Взаимодействие служб и ведомств, расположенных на территории Камышловского городского округа по вопросам укреплению общественного здоровья</w:t>
            </w:r>
          </w:p>
        </w:tc>
      </w:tr>
      <w:tr>
        <w:trPr/>
        <w:tc>
          <w:tcPr>
            <w:tcW w:w="15126" w:type="dxa"/>
            <w:gridSpan w:val="8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sz w:val="28"/>
                <w:szCs w:val="28"/>
              </w:rPr>
              <w:t>Мероприятия по раннему выявлению неинфекционных заболеваний и факторов риска их развития у населения Камышловского городского округа</w:t>
            </w:r>
          </w:p>
        </w:tc>
      </w:tr>
      <w:tr>
        <w:trPr/>
        <w:tc>
          <w:tcPr>
            <w:tcW w:w="830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2.1</w:t>
            </w:r>
          </w:p>
        </w:tc>
        <w:tc>
          <w:tcPr>
            <w:tcW w:w="4048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Проведение диспансеризации взрослого населения (4400 человек)</w:t>
            </w:r>
          </w:p>
        </w:tc>
        <w:tc>
          <w:tcPr>
            <w:tcW w:w="2449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ГАУЗ СО «Камышловская ЦРБ»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рамках подушевого финансирования ОМС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Выявления факторов риска заболеваний, диспансерное наблюдение</w:t>
            </w:r>
          </w:p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Снижение уровня заболеваемости и смертности</w:t>
            </w:r>
          </w:p>
        </w:tc>
      </w:tr>
      <w:tr>
        <w:trPr/>
        <w:tc>
          <w:tcPr>
            <w:tcW w:w="830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2.2</w:t>
            </w:r>
          </w:p>
        </w:tc>
        <w:tc>
          <w:tcPr>
            <w:tcW w:w="4048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Проведение ежегодных профилактических осмотров населения (1400 взрослых и 5500 детей)</w:t>
            </w:r>
          </w:p>
        </w:tc>
        <w:tc>
          <w:tcPr>
            <w:tcW w:w="2449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ГАУЗ СО «Камышловская ЦРБ»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рамках подушевого финансирования ОМС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Выявления факторов риска заболеваний, диспансерное наблюдение Снижение уровня заболеваемости и смертности</w:t>
            </w:r>
          </w:p>
        </w:tc>
      </w:tr>
      <w:tr>
        <w:trPr/>
        <w:tc>
          <w:tcPr>
            <w:tcW w:w="830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2.3</w:t>
            </w:r>
          </w:p>
        </w:tc>
        <w:tc>
          <w:tcPr>
            <w:tcW w:w="4048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Работа Центра здоровья для детей, клиники дружественной к молодежи</w:t>
            </w:r>
          </w:p>
        </w:tc>
        <w:tc>
          <w:tcPr>
            <w:tcW w:w="2449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ГАУЗ СО «Камышловская ЦРБ»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рамках дополнительного финансирования ОМС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Консультирование врачами  специалистами, диспансерное наблюдение</w:t>
            </w:r>
          </w:p>
        </w:tc>
      </w:tr>
      <w:tr>
        <w:trPr/>
        <w:tc>
          <w:tcPr>
            <w:tcW w:w="830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2.4</w:t>
            </w:r>
          </w:p>
        </w:tc>
        <w:tc>
          <w:tcPr>
            <w:tcW w:w="4048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Работа кабинета медицинской профилактики</w:t>
            </w:r>
          </w:p>
        </w:tc>
        <w:tc>
          <w:tcPr>
            <w:tcW w:w="2449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ГАУЗ СО «Камышловская ЦРБ»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рамках подушевого финансирования ОМС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Выявления факторов риска заболеваний</w:t>
            </w:r>
          </w:p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Консультирование специалистов</w:t>
            </w:r>
          </w:p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Снижение уровня смертности и инвалидизации</w:t>
            </w:r>
          </w:p>
        </w:tc>
      </w:tr>
      <w:tr>
        <w:trPr/>
        <w:tc>
          <w:tcPr>
            <w:tcW w:w="830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2.5</w:t>
            </w:r>
          </w:p>
        </w:tc>
        <w:tc>
          <w:tcPr>
            <w:tcW w:w="4048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Организация школ здоровья по заболеваниям (ожирение, сахарный диабет, артериальная гипертензия)</w:t>
            </w:r>
          </w:p>
        </w:tc>
        <w:tc>
          <w:tcPr>
            <w:tcW w:w="2449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ГАУЗ СО «Камышловская ЦРБ»</w:t>
            </w:r>
          </w:p>
          <w:p>
            <w:pPr>
              <w:pStyle w:val="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рамках подушевого финансирования ОМС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Выявления факторов риска заболеваний</w:t>
            </w:r>
          </w:p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Консультирование специалистов</w:t>
            </w:r>
          </w:p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Снижение уровня смертности и инвалидизации</w:t>
            </w:r>
          </w:p>
        </w:tc>
      </w:tr>
      <w:tr>
        <w:trPr/>
        <w:tc>
          <w:tcPr>
            <w:tcW w:w="830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2.6</w:t>
            </w:r>
          </w:p>
        </w:tc>
        <w:tc>
          <w:tcPr>
            <w:tcW w:w="4048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Помощь при отказе от курения и снижения веса</w:t>
            </w:r>
          </w:p>
        </w:tc>
        <w:tc>
          <w:tcPr>
            <w:tcW w:w="2449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ГАУЗ СО «Камышловская ЦРБ»</w:t>
            </w:r>
          </w:p>
          <w:p>
            <w:pPr>
              <w:pStyle w:val="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рамках подушевого финансирования ОМС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830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2.7</w:t>
            </w:r>
          </w:p>
        </w:tc>
        <w:tc>
          <w:tcPr>
            <w:tcW w:w="4048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Проведение маммографического и флюорографического обследования населения</w:t>
            </w:r>
          </w:p>
        </w:tc>
        <w:tc>
          <w:tcPr>
            <w:tcW w:w="2449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ГАУЗ СО «Камышловская ЦРБ»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рамках подушевого финансирования ОМС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Снижение заболеваемости и смертности от злокачественных новообразований</w:t>
            </w:r>
          </w:p>
        </w:tc>
      </w:tr>
      <w:tr>
        <w:trPr/>
        <w:tc>
          <w:tcPr>
            <w:tcW w:w="830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2.8</w:t>
            </w:r>
          </w:p>
        </w:tc>
        <w:tc>
          <w:tcPr>
            <w:tcW w:w="4048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Проведение скрининга (кардиотест, уро-тест, онкомаркеры)</w:t>
            </w:r>
          </w:p>
        </w:tc>
        <w:tc>
          <w:tcPr>
            <w:tcW w:w="2449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ГАУЗ СО «Камышловская ЦРБ»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рамках подушевого финансирования ОМС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Снижение заболеваемости и смертности от злокачественных новообразований</w:t>
            </w:r>
          </w:p>
        </w:tc>
      </w:tr>
      <w:tr>
        <w:trPr/>
        <w:tc>
          <w:tcPr>
            <w:tcW w:w="830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2.9</w:t>
            </w:r>
          </w:p>
        </w:tc>
        <w:tc>
          <w:tcPr>
            <w:tcW w:w="4048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Вакцинация населения</w:t>
            </w:r>
          </w:p>
        </w:tc>
        <w:tc>
          <w:tcPr>
            <w:tcW w:w="2449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ГАУЗ СО «Камышловская ЦРБ»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рамках подушевого финансирования федерального и регионального ОМС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Снижение заболеваемости и смертности от управляемых инфекций</w:t>
            </w:r>
          </w:p>
        </w:tc>
      </w:tr>
      <w:tr>
        <w:trPr/>
        <w:tc>
          <w:tcPr>
            <w:tcW w:w="830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2.10</w:t>
            </w:r>
          </w:p>
        </w:tc>
        <w:tc>
          <w:tcPr>
            <w:tcW w:w="4048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Организация постов здоровья в поликлинике, на предприятиях</w:t>
            </w:r>
          </w:p>
        </w:tc>
        <w:tc>
          <w:tcPr>
            <w:tcW w:w="2449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ГАУЗ СО «Камышловская ЦРБ»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рамках подушевого финансирования ОМС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Выявление рисков неинфекционных заболеваний. Снижение заболеваемости и смертности населения</w:t>
            </w:r>
          </w:p>
        </w:tc>
      </w:tr>
      <w:tr>
        <w:trPr/>
        <w:tc>
          <w:tcPr>
            <w:tcW w:w="15126" w:type="dxa"/>
            <w:gridSpan w:val="8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sz w:val="28"/>
                <w:szCs w:val="28"/>
              </w:rPr>
              <w:t>3. Мероприятия по мотивированию граждан к ведению здорового образа жизни, формирования культуры общественного здоровья посредствам проведения информационно-пропагандистской системы работы с населением</w:t>
            </w:r>
          </w:p>
        </w:tc>
      </w:tr>
      <w:tr>
        <w:trPr/>
        <w:tc>
          <w:tcPr>
            <w:tcW w:w="830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3.1</w:t>
            </w:r>
          </w:p>
        </w:tc>
        <w:tc>
          <w:tcPr>
            <w:tcW w:w="4048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Изготовление и распространение наглядной агитации (листовок, буклетов, календарей) санитарно-просветительской направленности и здорового образа жизни</w:t>
            </w:r>
          </w:p>
        </w:tc>
        <w:tc>
          <w:tcPr>
            <w:tcW w:w="2449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  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Администрация Камышловского городского округа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В рамках муниципальной программы 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Увеличение информированности жителей Камышловского городского округа в вопросах здорового образа жизни</w:t>
            </w:r>
          </w:p>
        </w:tc>
      </w:tr>
      <w:tr>
        <w:trPr>
          <w:trHeight w:val="3232" w:hRule="atLeast"/>
        </w:trPr>
        <w:tc>
          <w:tcPr>
            <w:tcW w:w="830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3.2</w:t>
            </w:r>
          </w:p>
        </w:tc>
        <w:tc>
          <w:tcPr>
            <w:tcW w:w="4048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Обеспечение в учреждениях, организациях и на предприятиях Камышловского городского округа размещения на информационных стендах наглядной агитации санитарно-просветительской направленности о здоровом образе жизни</w:t>
            </w:r>
          </w:p>
        </w:tc>
        <w:tc>
          <w:tcPr>
            <w:tcW w:w="2449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течении года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Руководители учреждений, организаций и предприятий Камышловского городского округа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За счет средств учреждений, организаций и предприятий Камышловского городского округа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Увеличение информированности сотрудников учреждений, организаций и предприятий Камышловского городского округа в вопросах здорового образа жизни</w:t>
            </w:r>
          </w:p>
        </w:tc>
      </w:tr>
      <w:tr>
        <w:trPr/>
        <w:tc>
          <w:tcPr>
            <w:tcW w:w="83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3.3</w:t>
            </w:r>
          </w:p>
        </w:tc>
        <w:tc>
          <w:tcPr>
            <w:tcW w:w="4048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Систематическое освещение вопросов по пропаганде здорового образа жизни, преодолению вредных привычек, в том числе табакокурения, потребления алкогольной продукции, пива, наркотических средств в средствах массовой информации и на сайтах учреждений и организаций Камышловского городского округа</w:t>
            </w:r>
          </w:p>
        </w:tc>
        <w:tc>
          <w:tcPr>
            <w:tcW w:w="2449" w:type="dxa"/>
            <w:gridSpan w:val="2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течении года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Администрация Камышловского городского округа, ГАУЗ СО «Камышловская ЦРБ»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Финансирование не предусмотрено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Увеличение информированности жителей Камышловского городского округа о  вреде </w:t>
            </w:r>
            <w:r>
              <w:rPr>
                <w:rFonts w:ascii="Liberation Serif" w:hAnsi="Liberation Serif"/>
                <w:sz w:val="28"/>
                <w:szCs w:val="28"/>
              </w:rPr>
              <w:t>табакокурения, потребления алкогольной продукции, пива и наркотических средств и  сопутствующих заболеваниях</w:t>
            </w:r>
          </w:p>
        </w:tc>
      </w:tr>
      <w:tr>
        <w:trPr/>
        <w:tc>
          <w:tcPr>
            <w:tcW w:w="830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3.4</w:t>
            </w:r>
          </w:p>
        </w:tc>
        <w:tc>
          <w:tcPr>
            <w:tcW w:w="4048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Организация выставок, видео-лекториев на тему здорового образа жизни</w:t>
            </w:r>
          </w:p>
        </w:tc>
        <w:tc>
          <w:tcPr>
            <w:tcW w:w="2449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течении года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Администрация Камышловского городского округа, ГАУЗ СО «Камышловская ЦРБ»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рамках финансирования муниципальной программы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Увеличение информированности жителей Камышловского городского округа в вопросах здорового образа жизни</w:t>
            </w:r>
          </w:p>
        </w:tc>
      </w:tr>
      <w:tr>
        <w:trPr/>
        <w:tc>
          <w:tcPr>
            <w:tcW w:w="830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3.5</w:t>
            </w:r>
          </w:p>
        </w:tc>
        <w:tc>
          <w:tcPr>
            <w:tcW w:w="4048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Проведение совместных информационно-просветительских мероприятий с АНО «Путь жизни»</w:t>
            </w:r>
          </w:p>
        </w:tc>
        <w:tc>
          <w:tcPr>
            <w:tcW w:w="2449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течении года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Комитет по ОКС и ДМ, АНО «Путь жизни»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рамках финансирования муниципальной программы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Число лиц, принявших участие в массовых мероприятиях – не мене 10% от общего населения Камышловского городского округа</w:t>
            </w:r>
          </w:p>
        </w:tc>
      </w:tr>
      <w:tr>
        <w:trPr/>
        <w:tc>
          <w:tcPr>
            <w:tcW w:w="15126" w:type="dxa"/>
            <w:gridSpan w:val="8"/>
            <w:tcBorders/>
            <w:shd w:color="auto" w:fill="auto" w:val="clear"/>
          </w:tcPr>
          <w:p>
            <w:pPr>
              <w:pStyle w:val="Normal"/>
              <w:ind w:left="360" w:hanging="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sz w:val="28"/>
                <w:szCs w:val="28"/>
              </w:rPr>
              <w:t>4.Мероприятия по формированию здорового образа жизни у детей, подростков и молодежи, созданию среды благоприятной для сохранения и укрепления здоровья</w:t>
            </w:r>
          </w:p>
        </w:tc>
      </w:tr>
      <w:tr>
        <w:trPr/>
        <w:tc>
          <w:tcPr>
            <w:tcW w:w="830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4.1</w:t>
            </w:r>
          </w:p>
        </w:tc>
        <w:tc>
          <w:tcPr>
            <w:tcW w:w="4048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Проведение лекций, бесед, классных часов опросов (анкетирования) среди детей, подростков и их родителей о пагубном влиянии вредных привычек (табакокурения, потребление алкоголя, наркотиков, неправильное питание) с привлечением врачей педиатров, психиатров, наркологов, сотрудников полиции</w:t>
            </w:r>
          </w:p>
        </w:tc>
        <w:tc>
          <w:tcPr>
            <w:tcW w:w="2449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течении года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Комитет по ОКС и ДМ, ГАУЗ СО «Камышловская ЦРБ», МО МВД России «Камышловский»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Не предусмотрено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Увеличение информирования детей, подростков и молодежи по вопросам здорового образа жизни и укреплению здоровья</w:t>
            </w:r>
          </w:p>
        </w:tc>
      </w:tr>
      <w:tr>
        <w:trPr/>
        <w:tc>
          <w:tcPr>
            <w:tcW w:w="830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4.2</w:t>
            </w:r>
          </w:p>
        </w:tc>
        <w:tc>
          <w:tcPr>
            <w:tcW w:w="4048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Цикл мероприятий о вредных привычках совместно медиками</w:t>
            </w:r>
            <w:r>
              <w:rPr>
                <w:rFonts w:cs="Times New Roman" w:ascii="Liberation Serif" w:hAnsi="Liberation Serif"/>
                <w:b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ГАУЗ СО «Камышловская ЦРБ»</w:t>
            </w:r>
          </w:p>
        </w:tc>
        <w:tc>
          <w:tcPr>
            <w:tcW w:w="2449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Центральная городская библиотека</w:t>
            </w:r>
          </w:p>
          <w:p>
            <w:pPr>
              <w:pStyle w:val="Normal"/>
              <w:rPr>
                <w:rFonts w:ascii="Liberation Serif" w:hAnsi="Liberation Serif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По договоренности</w:t>
            </w:r>
            <w:r>
              <w:rPr>
                <w:rFonts w:cs="Times New Roman" w:ascii="Liberation Serif" w:hAnsi="Liberation Serif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с</w:t>
            </w:r>
            <w:r>
              <w:rPr>
                <w:rFonts w:cs="Times New Roman" w:ascii="Liberation Serif" w:hAnsi="Liberation Serif"/>
                <w:b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ГАУЗ СО «Камышловская ЦРБ»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Комитет по ОКС и ДМ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рамках муниципального задания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Число ли, принявших участие в массовых мероприятиях – не мене 10% от общего населения Камышловского городского округа</w:t>
            </w:r>
          </w:p>
        </w:tc>
      </w:tr>
      <w:tr>
        <w:trPr/>
        <w:tc>
          <w:tcPr>
            <w:tcW w:w="830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4.3</w:t>
            </w:r>
          </w:p>
        </w:tc>
        <w:tc>
          <w:tcPr>
            <w:tcW w:w="4048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Муниципальный этап социально-педагогического проекта «Будь здоров!»</w:t>
            </w:r>
          </w:p>
        </w:tc>
        <w:tc>
          <w:tcPr>
            <w:tcW w:w="2449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ежегодно 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Комитет по ОКС и ДМ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рамках муниципальной программы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Формирование здорового образа жизни (ЗОЖ) подрастающего поколения</w:t>
            </w:r>
          </w:p>
        </w:tc>
      </w:tr>
      <w:tr>
        <w:trPr/>
        <w:tc>
          <w:tcPr>
            <w:tcW w:w="83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4.4</w:t>
            </w:r>
          </w:p>
        </w:tc>
        <w:tc>
          <w:tcPr>
            <w:tcW w:w="4048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Ежемесячное посещение бесед в клинике дружественной к молодёжи</w:t>
            </w:r>
          </w:p>
        </w:tc>
        <w:tc>
          <w:tcPr>
            <w:tcW w:w="2449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течение года по отдельному графику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Комитет по ОКС и ДМ, ГАУЗ СО «Камышловская ЦРБ»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Не предусмотрено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Профилактика игромании, употребление ПАВ, суицидальных наклонностей, ВИЧ-Инфекции, ЗППП</w:t>
            </w:r>
          </w:p>
        </w:tc>
      </w:tr>
      <w:tr>
        <w:trPr/>
        <w:tc>
          <w:tcPr>
            <w:tcW w:w="83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4.5</w:t>
            </w:r>
          </w:p>
        </w:tc>
        <w:tc>
          <w:tcPr>
            <w:tcW w:w="4048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Профилактические медицинские осмотры несовершеннолетних</w:t>
            </w:r>
          </w:p>
        </w:tc>
        <w:tc>
          <w:tcPr>
            <w:tcW w:w="2449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февраль - май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ГАУЗ СО «Камышловская ЦРБ»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Не предусмотрено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выявление и предупреждение употребления ПАВ, алкогольной и табакосодержащей продукции</w:t>
            </w:r>
          </w:p>
        </w:tc>
      </w:tr>
      <w:tr>
        <w:trPr/>
        <w:tc>
          <w:tcPr>
            <w:tcW w:w="83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4.6</w:t>
            </w:r>
          </w:p>
        </w:tc>
        <w:tc>
          <w:tcPr>
            <w:tcW w:w="4048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Оперативно-профилактическая операция «Подросток»</w:t>
            </w:r>
          </w:p>
        </w:tc>
        <w:tc>
          <w:tcPr>
            <w:tcW w:w="2449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май-ноябрь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Комитет по ОКС и ДМ, субъекты профилактики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Не предусмотрено 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Профилактика безнадзорности и правонарушений среди несовершеннолетних</w:t>
            </w:r>
          </w:p>
        </w:tc>
      </w:tr>
      <w:tr>
        <w:trPr/>
        <w:tc>
          <w:tcPr>
            <w:tcW w:w="83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4.7</w:t>
            </w:r>
          </w:p>
        </w:tc>
        <w:tc>
          <w:tcPr>
            <w:tcW w:w="4048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Социально-психологическое тестирование несовершеннолетних</w:t>
            </w:r>
          </w:p>
        </w:tc>
        <w:tc>
          <w:tcPr>
            <w:tcW w:w="2449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сентябрь-ноябрь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Комитет по ОКС и ДМ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Не предусмотрено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Выявление употребления ПАВ и профилактика незаконного потребления наркотических средств и психотропных веществ</w:t>
            </w:r>
          </w:p>
        </w:tc>
      </w:tr>
      <w:tr>
        <w:trPr/>
        <w:tc>
          <w:tcPr>
            <w:tcW w:w="83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4.8</w:t>
            </w:r>
          </w:p>
        </w:tc>
        <w:tc>
          <w:tcPr>
            <w:tcW w:w="4048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Регулярное участие педагогического состава в вебинарах ГБУ СО "ЦППМСП "Ладо" </w:t>
            </w:r>
          </w:p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2449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Комитет по ОКС и ДМ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Не предусмотрено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Повышение квалификации педагогов в сфере профилактики зависимостей</w:t>
            </w:r>
          </w:p>
        </w:tc>
      </w:tr>
      <w:tr>
        <w:trPr/>
        <w:tc>
          <w:tcPr>
            <w:tcW w:w="83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4.9</w:t>
            </w:r>
          </w:p>
        </w:tc>
        <w:tc>
          <w:tcPr>
            <w:tcW w:w="4048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Родительские собрания на темы: "Семья без наркотиков",</w:t>
            </w:r>
          </w:p>
          <w:p>
            <w:pPr>
              <w:pStyle w:val="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"О вреде применения детьми никотиносодержащих смесей", "Опасность, которая рядом. Наркомания. Что о ней нужно знать?", </w:t>
            </w:r>
          </w:p>
          <w:p>
            <w:pPr>
              <w:pStyle w:val="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"Проблемы, связанные с наркотиками и профилактика их употребления", "Противодействие и профилактика буллинга среди детей"</w:t>
            </w:r>
          </w:p>
          <w:p>
            <w:pPr>
              <w:pStyle w:val="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2449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Комитет по ОКС и ДМ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Не предусмотрено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Информирование родителей о вреде и влиянии наркотических средств на несовершеннолетних</w:t>
            </w:r>
          </w:p>
        </w:tc>
      </w:tr>
      <w:tr>
        <w:trPr/>
        <w:tc>
          <w:tcPr>
            <w:tcW w:w="15126" w:type="dxa"/>
            <w:gridSpan w:val="8"/>
            <w:tcBorders/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sz w:val="28"/>
                <w:szCs w:val="28"/>
              </w:rPr>
              <w:t>5. Мероприятия по профилактике асоциальных явлений и зависимостей</w:t>
            </w:r>
          </w:p>
        </w:tc>
      </w:tr>
      <w:tr>
        <w:trPr/>
        <w:tc>
          <w:tcPr>
            <w:tcW w:w="83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5.1.</w:t>
            </w:r>
          </w:p>
        </w:tc>
        <w:tc>
          <w:tcPr>
            <w:tcW w:w="4048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Организация ежегодных массовых профилактических акций, выставок, направленных на формирование здорового образа жизни:</w:t>
            </w:r>
          </w:p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2449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течении года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Комитет по ОКС и ДМ, субъекты профилактики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Не предусмотрено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Повышение информированности населения и молодежи в вопросах формирования здорового образа жизни</w:t>
            </w:r>
          </w:p>
        </w:tc>
      </w:tr>
      <w:tr>
        <w:trPr/>
        <w:tc>
          <w:tcPr>
            <w:tcW w:w="830" w:type="dxa"/>
            <w:vMerge w:val="restart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4048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акция «Единый день профилактики»</w:t>
            </w:r>
          </w:p>
        </w:tc>
        <w:tc>
          <w:tcPr>
            <w:tcW w:w="2449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март, октябрь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Комитет по ОКС и ДМ, </w:t>
            </w:r>
          </w:p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субъекты профилактики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Не предусмотрено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Информирование подростков о всех видах правонарушений </w:t>
            </w:r>
          </w:p>
        </w:tc>
      </w:tr>
      <w:tr>
        <w:trPr/>
        <w:tc>
          <w:tcPr>
            <w:tcW w:w="830" w:type="dxa"/>
            <w:vMerge w:val="continue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4048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акция «Урок правопорядок»</w:t>
            </w:r>
          </w:p>
        </w:tc>
        <w:tc>
          <w:tcPr>
            <w:tcW w:w="2449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март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Комитет по ОКС и ДМ, МО МВД РФ «Камышловский»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Не предусмотрено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Информирование подростков о видах правонарушений и уголовной ответственности за </w:t>
            </w:r>
          </w:p>
        </w:tc>
      </w:tr>
      <w:tr>
        <w:trPr/>
        <w:tc>
          <w:tcPr>
            <w:tcW w:w="830" w:type="dxa"/>
            <w:vMerge w:val="restart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4048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акция «Сообщи, где торгуют смертью»</w:t>
            </w:r>
          </w:p>
        </w:tc>
        <w:tc>
          <w:tcPr>
            <w:tcW w:w="2449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2 раза в год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Комитет по ОКС и ДМ,  МО МВД РФ «Камышловский»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Не предусмотрено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Противодействие незаконному обороту наркотиков</w:t>
            </w:r>
          </w:p>
        </w:tc>
      </w:tr>
      <w:tr>
        <w:trPr/>
        <w:tc>
          <w:tcPr>
            <w:tcW w:w="830" w:type="dxa"/>
            <w:vMerge w:val="continue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4048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акция «За здоровье и безопасность наших детей»</w:t>
            </w:r>
          </w:p>
        </w:tc>
        <w:tc>
          <w:tcPr>
            <w:tcW w:w="2449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Комитет по ОКС и ДМ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Не предусмотрено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Повышение эффективности деятельности по сохранению и укреплению здоровья детей и молодежи</w:t>
            </w:r>
          </w:p>
        </w:tc>
      </w:tr>
      <w:tr>
        <w:trPr/>
        <w:tc>
          <w:tcPr>
            <w:tcW w:w="830" w:type="dxa"/>
            <w:vMerge w:val="continue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4048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Профилактическое мероприятие «Здоровье»</w:t>
            </w:r>
          </w:p>
        </w:tc>
        <w:tc>
          <w:tcPr>
            <w:tcW w:w="2449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Февраль 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Комитет по ОКС и ДМ, субъекты профилактики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Не предусмотрено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Профилактика наркомании и алкоголизма в подростковой среде</w:t>
            </w:r>
          </w:p>
        </w:tc>
      </w:tr>
      <w:tr>
        <w:trPr/>
        <w:tc>
          <w:tcPr>
            <w:tcW w:w="830" w:type="dxa"/>
            <w:vMerge w:val="continue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4048" w:type="dxa"/>
            <w:gridSpan w:val="2"/>
            <w:tcBorders/>
            <w:shd w:color="auto" w:fill="auto" w:val="clear"/>
          </w:tcPr>
          <w:p>
            <w:pPr>
              <w:pStyle w:val="Normal"/>
              <w:suppressAutoHyphens w:val="false"/>
              <w:spacing w:lineRule="auto" w:line="259" w:before="0" w:after="16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/>
                <w:sz w:val="28"/>
                <w:szCs w:val="28"/>
                <w:lang w:eastAsia="en-US"/>
              </w:rPr>
              <w:t xml:space="preserve">Месячник антинаркотической направленности (к </w:t>
            </w: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>Международному дню борьбы с наркоманией) (план мероприятий по противодействию незаконному обороту наркотиков)</w:t>
            </w:r>
          </w:p>
        </w:tc>
        <w:tc>
          <w:tcPr>
            <w:tcW w:w="2449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Май –июнь 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Комитет по ОКС и ДМ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В рамках подпрограммы «Асоциальные явления» 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Предупреждение распространения наркотических и психотропных средств. Противодействие </w:t>
            </w: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>незаконному обороту наркотиков</w:t>
            </w:r>
          </w:p>
        </w:tc>
      </w:tr>
      <w:tr>
        <w:trPr/>
        <w:tc>
          <w:tcPr>
            <w:tcW w:w="830" w:type="dxa"/>
            <w:vMerge w:val="continue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4048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акция «Семья без наркотиков»</w:t>
            </w:r>
          </w:p>
        </w:tc>
        <w:tc>
          <w:tcPr>
            <w:tcW w:w="2449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ежегодно 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Комитет по ОКС и ДМ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Не предусмотрено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Предупреждение распространения наркомании среди несовершеннолетних, выявление фактов вовлечения в употребление алкогольной продукцией</w:t>
            </w:r>
          </w:p>
        </w:tc>
      </w:tr>
      <w:tr>
        <w:trPr/>
        <w:tc>
          <w:tcPr>
            <w:tcW w:w="830" w:type="dxa"/>
            <w:vMerge w:val="continue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4048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Организация и проведение акции в ОУ "Молодёжь без пива"</w:t>
            </w:r>
          </w:p>
        </w:tc>
        <w:tc>
          <w:tcPr>
            <w:tcW w:w="2449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Комитет по ОКС и ДМ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Не предусмотрено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Профилактика употребления алкогольной продукции</w:t>
            </w:r>
          </w:p>
        </w:tc>
      </w:tr>
      <w:tr>
        <w:trPr>
          <w:trHeight w:val="680" w:hRule="atLeast"/>
        </w:trPr>
        <w:tc>
          <w:tcPr>
            <w:tcW w:w="830" w:type="dxa"/>
            <w:vMerge w:val="restart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4048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Оформление школьных выставок «Скажи, нет!»</w:t>
            </w:r>
          </w:p>
        </w:tc>
        <w:tc>
          <w:tcPr>
            <w:tcW w:w="2449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сентябрь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Комитет по ОКС и ДМ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Не предусмотрено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Профилактика асоциальных явлений</w:t>
            </w:r>
          </w:p>
        </w:tc>
      </w:tr>
      <w:tr>
        <w:trPr/>
        <w:tc>
          <w:tcPr>
            <w:tcW w:w="830" w:type="dxa"/>
            <w:vMerge w:val="continue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4048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Мероприятия в рамках Дня трезвости</w:t>
            </w:r>
          </w:p>
        </w:tc>
        <w:tc>
          <w:tcPr>
            <w:tcW w:w="2449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сентябрь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Комитет по ОКС и ДМ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Не предусмотрено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Профилактика употребления алкогольной продукции</w:t>
            </w:r>
          </w:p>
        </w:tc>
      </w:tr>
      <w:tr>
        <w:trPr/>
        <w:tc>
          <w:tcPr>
            <w:tcW w:w="830" w:type="dxa"/>
            <w:vMerge w:val="continue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4048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Всероссийская акция "Красная ленточка" </w:t>
            </w:r>
          </w:p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2449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декабрь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Комитет по ОКС и ДМ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Не предусмотрено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Информирование и профилактика ВИЧ-инфекции</w:t>
            </w:r>
          </w:p>
        </w:tc>
      </w:tr>
      <w:tr>
        <w:trPr/>
        <w:tc>
          <w:tcPr>
            <w:tcW w:w="15126" w:type="dxa"/>
            <w:gridSpan w:val="8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sz w:val="28"/>
                <w:szCs w:val="28"/>
              </w:rPr>
              <w:t>7. Мероприятия по организации досуга и повышения физической активности населения Камышловского городского округа</w:t>
            </w:r>
          </w:p>
        </w:tc>
      </w:tr>
      <w:tr>
        <w:trPr>
          <w:trHeight w:val="910" w:hRule="atLeast"/>
        </w:trPr>
        <w:tc>
          <w:tcPr>
            <w:tcW w:w="83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7.1.</w:t>
            </w:r>
          </w:p>
        </w:tc>
        <w:tc>
          <w:tcPr>
            <w:tcW w:w="4048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V</w:t>
            </w:r>
            <w:r>
              <w:rPr>
                <w:rFonts w:cs="Times New Roman"/>
                <w:sz w:val="28"/>
                <w:szCs w:val="28"/>
              </w:rPr>
              <w:t xml:space="preserve"> Летняя Спартакиада среди трудовых коллектив Камышловского городского округа</w:t>
            </w:r>
          </w:p>
        </w:tc>
        <w:tc>
          <w:tcPr>
            <w:tcW w:w="2449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12.06.2022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Комитет по ОКС и ДМ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рамках муниципального задания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Число ли, принявших участие в массовых мероприятиях – не мене 10% от общего населения Камышловского городского округа</w:t>
            </w:r>
          </w:p>
        </w:tc>
      </w:tr>
      <w:tr>
        <w:trPr>
          <w:trHeight w:val="910" w:hRule="atLeast"/>
        </w:trPr>
        <w:tc>
          <w:tcPr>
            <w:tcW w:w="83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7.2</w:t>
            </w:r>
          </w:p>
        </w:tc>
        <w:tc>
          <w:tcPr>
            <w:tcW w:w="4048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Лыжня России среди воспитанников дошкольных образовательных организаций</w:t>
            </w:r>
          </w:p>
        </w:tc>
        <w:tc>
          <w:tcPr>
            <w:tcW w:w="2449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05.02.2022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Комитет по ОКС и ДМ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рамках муниципального задания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Число ли, принявших участие в массовых мероприятиях – не мене 10% от общего населения Камышловского городского округа</w:t>
            </w:r>
          </w:p>
        </w:tc>
      </w:tr>
      <w:tr>
        <w:trPr>
          <w:trHeight w:val="910" w:hRule="atLeast"/>
        </w:trPr>
        <w:tc>
          <w:tcPr>
            <w:tcW w:w="844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7.3</w:t>
            </w:r>
          </w:p>
        </w:tc>
        <w:tc>
          <w:tcPr>
            <w:tcW w:w="4040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Всероссийская массовая лыжная гонка «Лыжня России»</w:t>
            </w:r>
          </w:p>
        </w:tc>
        <w:tc>
          <w:tcPr>
            <w:tcW w:w="2443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26.02.2022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Комитет по ОКС и ДМ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рамках муниципального задания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Число ли, принявших участие в массовых мероприятиях – не мене 10% от общего  населения Камышловского городского округа</w:t>
            </w:r>
          </w:p>
        </w:tc>
      </w:tr>
      <w:tr>
        <w:trPr>
          <w:trHeight w:val="910" w:hRule="atLeast"/>
        </w:trPr>
        <w:tc>
          <w:tcPr>
            <w:tcW w:w="844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7.4</w:t>
            </w:r>
          </w:p>
        </w:tc>
        <w:tc>
          <w:tcPr>
            <w:tcW w:w="4040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Легкоатлетическая эстафета на приз газеты «Камышловские известия»</w:t>
            </w:r>
          </w:p>
        </w:tc>
        <w:tc>
          <w:tcPr>
            <w:tcW w:w="2443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Комитет по ОКС и ДМ, администрация Камышловского городского округа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рамках муниципального задания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Число ли, принявших участие в массовых мероприятиях – не мене 10% от общего населения Камышловского городского округа</w:t>
            </w:r>
          </w:p>
        </w:tc>
      </w:tr>
      <w:tr>
        <w:trPr>
          <w:trHeight w:val="910" w:hRule="atLeast"/>
        </w:trPr>
        <w:tc>
          <w:tcPr>
            <w:tcW w:w="844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7.5</w:t>
            </w:r>
          </w:p>
        </w:tc>
        <w:tc>
          <w:tcPr>
            <w:tcW w:w="4040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Спартакиада трудовых коллективов Камышловского городского округа</w:t>
            </w:r>
          </w:p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2443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С июня 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Комитет по ОКС и ДМ, администрация Камышловского городского округа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рамках муниципального задания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Привлечение работоспособного населения Камышловского городского округа к здоровому образу жизни</w:t>
            </w:r>
          </w:p>
        </w:tc>
      </w:tr>
      <w:tr>
        <w:trPr>
          <w:trHeight w:val="910" w:hRule="atLeast"/>
        </w:trPr>
        <w:tc>
          <w:tcPr>
            <w:tcW w:w="844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7.6</w:t>
            </w:r>
          </w:p>
        </w:tc>
        <w:tc>
          <w:tcPr>
            <w:tcW w:w="4040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Всероссийский день бега «Кросс нации»</w:t>
            </w:r>
          </w:p>
        </w:tc>
        <w:tc>
          <w:tcPr>
            <w:tcW w:w="2443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сентябрь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Комитет по ОКС и ДМ, администрация Камышловского городского округа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рамках муниципального задания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Число ли, принявших участие в массовых мероприятиях – не мене 10% от общего населения Камышловского городского округа</w:t>
            </w:r>
          </w:p>
        </w:tc>
      </w:tr>
      <w:tr>
        <w:trPr>
          <w:trHeight w:val="910" w:hRule="atLeast"/>
        </w:trPr>
        <w:tc>
          <w:tcPr>
            <w:tcW w:w="844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7.7</w:t>
            </w:r>
          </w:p>
        </w:tc>
        <w:tc>
          <w:tcPr>
            <w:tcW w:w="4040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Обеспечение мероприятий по формированию и развитию навыков санитарно-гигиенического поведения осознанного и ответственного отношения населения Камышловского городского округа к личной безопасности и собственному здоровью, в том числе:</w:t>
            </w:r>
          </w:p>
        </w:tc>
        <w:tc>
          <w:tcPr>
            <w:tcW w:w="2443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Весь период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Комитет по ОКС и ДМ, учреждения культурно-досугового типа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рамках исполнения муниципального задания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1 % культурных мероприятий оздоровительно-просветительской направленности в общем количестве культурных мероприятий (процентов) </w:t>
            </w:r>
          </w:p>
        </w:tc>
      </w:tr>
      <w:tr>
        <w:trPr>
          <w:trHeight w:val="910" w:hRule="atLeast"/>
        </w:trPr>
        <w:tc>
          <w:tcPr>
            <w:tcW w:w="844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7.7.1.</w:t>
            </w:r>
          </w:p>
        </w:tc>
        <w:tc>
          <w:tcPr>
            <w:tcW w:w="4040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Организация культурных мероприятий оздоровительно-просветительской направленности</w:t>
            </w:r>
          </w:p>
        </w:tc>
        <w:tc>
          <w:tcPr>
            <w:tcW w:w="2443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Весь период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Комитет по ОКС и ДМ, учреждения культурно-досугового типа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рамках исполнения муниципального задания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1 % культурных мероприятий оздоровительно-просветительской направленности в общем количестве культурных мероприятий (процентов) </w:t>
            </w:r>
          </w:p>
        </w:tc>
      </w:tr>
      <w:tr>
        <w:trPr>
          <w:trHeight w:val="938" w:hRule="atLeast"/>
        </w:trPr>
        <w:tc>
          <w:tcPr>
            <w:tcW w:w="844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7.7.2.</w:t>
            </w:r>
          </w:p>
        </w:tc>
        <w:tc>
          <w:tcPr>
            <w:tcW w:w="4040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Работа клубных формирований, направленных на формирование здорового образа жизни, на базе учреждений культурно-досугового типа</w:t>
            </w:r>
          </w:p>
        </w:tc>
        <w:tc>
          <w:tcPr>
            <w:tcW w:w="2443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Весь период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Комитет по ОКС и ДМ, учреждения культурно-досугового типа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рамках исполнения муниципального задания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5% клубных формирований оздоровительной и санитарно-просветительской направленности в общем количестве клубных формирований, действующих на базе муниципальных учреждений культуры Камышловского городского округа (процентов)</w:t>
            </w:r>
          </w:p>
        </w:tc>
      </w:tr>
      <w:tr>
        <w:trPr/>
        <w:tc>
          <w:tcPr>
            <w:tcW w:w="844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7.8</w:t>
            </w:r>
          </w:p>
        </w:tc>
        <w:tc>
          <w:tcPr>
            <w:tcW w:w="4040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443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Комитет по ОКС и ДМ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рамках муниципального задания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Привлечение населения Камышловского городского округа к здоровому образу жизни</w:t>
            </w:r>
          </w:p>
        </w:tc>
      </w:tr>
      <w:tr>
        <w:trPr/>
        <w:tc>
          <w:tcPr>
            <w:tcW w:w="844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7.9</w:t>
            </w:r>
          </w:p>
        </w:tc>
        <w:tc>
          <w:tcPr>
            <w:tcW w:w="4040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Проведение официальных физкультурных (физкультурно-оздоровительных) мероприятий</w:t>
            </w:r>
          </w:p>
        </w:tc>
        <w:tc>
          <w:tcPr>
            <w:tcW w:w="2443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Комитет по ОКС и ДМ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рамках муниципального задания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Привлечение населения Камышловского городского округа к здоровому образу жизни</w:t>
            </w:r>
          </w:p>
        </w:tc>
      </w:tr>
      <w:tr>
        <w:trPr/>
        <w:tc>
          <w:tcPr>
            <w:tcW w:w="844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7.10</w:t>
            </w:r>
          </w:p>
        </w:tc>
        <w:tc>
          <w:tcPr>
            <w:tcW w:w="4040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2443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Комитет по ОКС и ДМ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рамках муниципального задания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Привлечение населения Камышловского городского округа к здоровому образу жизни</w:t>
            </w:r>
          </w:p>
        </w:tc>
      </w:tr>
      <w:tr>
        <w:trPr/>
        <w:tc>
          <w:tcPr>
            <w:tcW w:w="844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7.11</w:t>
            </w:r>
          </w:p>
        </w:tc>
        <w:tc>
          <w:tcPr>
            <w:tcW w:w="4040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Мероприятия по поэтапному внедрению и реализации Всероссийского физкультурно-спортивного комплекса «Готов к труду и обороне» (ГТО) в Камышловском городском округе</w:t>
            </w:r>
          </w:p>
        </w:tc>
        <w:tc>
          <w:tcPr>
            <w:tcW w:w="2443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Комитет по ОКС и ДМ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рамках муниципального задания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Привлечение населения Камышловского городского округа к здоровому образу жизни</w:t>
            </w:r>
          </w:p>
        </w:tc>
      </w:tr>
      <w:tr>
        <w:trPr/>
        <w:tc>
          <w:tcPr>
            <w:tcW w:w="15126" w:type="dxa"/>
            <w:gridSpan w:val="8"/>
            <w:tcBorders/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sz w:val="28"/>
                <w:szCs w:val="28"/>
              </w:rPr>
              <w:t>8. Мероприятия по созданию среды способствующей ведению гражданами здорового образа жизни</w:t>
            </w:r>
          </w:p>
        </w:tc>
      </w:tr>
      <w:tr>
        <w:trPr/>
        <w:tc>
          <w:tcPr>
            <w:tcW w:w="844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8.1</w:t>
            </w:r>
          </w:p>
        </w:tc>
        <w:tc>
          <w:tcPr>
            <w:tcW w:w="4040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Благоустройство зелёных зон (парков, скверов, придомовых территорий)</w:t>
            </w:r>
          </w:p>
        </w:tc>
        <w:tc>
          <w:tcPr>
            <w:tcW w:w="2443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течении года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Администрация Камышловского городского округа 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рамках муниципальной программы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Увеличении зон отдыха для жителей Камышловского городского округа</w:t>
            </w:r>
          </w:p>
        </w:tc>
      </w:tr>
      <w:tr>
        <w:trPr/>
        <w:tc>
          <w:tcPr>
            <w:tcW w:w="844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8.2</w:t>
            </w:r>
          </w:p>
        </w:tc>
        <w:tc>
          <w:tcPr>
            <w:tcW w:w="4040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Участие школьных волонтерских отрядов в субботниках</w:t>
            </w:r>
          </w:p>
        </w:tc>
        <w:tc>
          <w:tcPr>
            <w:tcW w:w="2443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Не предусмотрено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844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8.3</w:t>
            </w:r>
          </w:p>
        </w:tc>
        <w:tc>
          <w:tcPr>
            <w:tcW w:w="4040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Акция </w:t>
            </w:r>
            <w:r>
              <w:rPr>
                <w:rFonts w:ascii="Liberation Serif" w:hAnsi="Liberation Serif"/>
                <w:sz w:val="28"/>
                <w:szCs w:val="28"/>
              </w:rPr>
              <w:t>«Молодое поколение за жизнь без туберкулёза»</w:t>
            </w:r>
            <w:r>
              <w:rPr>
                <w:rFonts w:cs="Times New Roman"/>
                <w:sz w:val="28"/>
                <w:szCs w:val="28"/>
              </w:rPr>
              <w:t xml:space="preserve"> (Всемирный день борьбы против туберкулеза)</w:t>
            </w:r>
          </w:p>
        </w:tc>
        <w:tc>
          <w:tcPr>
            <w:tcW w:w="2443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Март 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Комитет по ОКС и ДМ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рамках подпрограммы «Профилактика асоциальных явлений на территории Камышловского городского округа»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Профилактика туберкулеза и легочных заболеваний</w:t>
            </w:r>
          </w:p>
        </w:tc>
      </w:tr>
      <w:tr>
        <w:trPr/>
        <w:tc>
          <w:tcPr>
            <w:tcW w:w="844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8.4</w:t>
            </w:r>
          </w:p>
        </w:tc>
        <w:tc>
          <w:tcPr>
            <w:tcW w:w="4040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fill="FFFFFF" w:val="clear"/>
              </w:rPr>
              <w:t>Мероприятия в рамках Всемирного </w:t>
            </w:r>
            <w:r>
              <w:rPr>
                <w:rFonts w:cs="Times New Roman"/>
                <w:bCs/>
                <w:sz w:val="28"/>
                <w:szCs w:val="28"/>
                <w:shd w:fill="FFFFFF" w:val="clear"/>
              </w:rPr>
              <w:t>дня</w:t>
            </w:r>
            <w:r>
              <w:rPr>
                <w:rFonts w:cs="Times New Roman"/>
                <w:sz w:val="28"/>
                <w:szCs w:val="28"/>
                <w:shd w:fill="FFFFFF" w:val="clear"/>
              </w:rPr>
              <w:t> </w:t>
            </w:r>
            <w:r>
              <w:rPr>
                <w:rFonts w:cs="Times New Roman"/>
                <w:bCs/>
                <w:sz w:val="28"/>
                <w:szCs w:val="28"/>
                <w:shd w:fill="FFFFFF" w:val="clear"/>
              </w:rPr>
              <w:t>здоровья</w:t>
            </w:r>
          </w:p>
        </w:tc>
        <w:tc>
          <w:tcPr>
            <w:tcW w:w="2443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Комитет по ОКС и ДМ, ГАУЗ СО «Камышловская ЦРБ»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Не предусмотрено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Профилактика заболеваний, популяризация здорового образа жизни</w:t>
            </w:r>
          </w:p>
        </w:tc>
      </w:tr>
      <w:tr>
        <w:trPr/>
        <w:tc>
          <w:tcPr>
            <w:tcW w:w="844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8.5</w:t>
            </w:r>
          </w:p>
        </w:tc>
        <w:tc>
          <w:tcPr>
            <w:tcW w:w="4040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Мероприятия в рамках Всемирного дня памяти жертв СПИДа</w:t>
            </w:r>
          </w:p>
        </w:tc>
        <w:tc>
          <w:tcPr>
            <w:tcW w:w="2443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Комитет по ОКС и ДМ, руководители образовательных учреждений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рамках подпрограммы «Профилактика асоциальных явлений на территории Камышловского городского округа»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Профилактика заболеваний ВИЧ, СПИда </w:t>
            </w:r>
          </w:p>
        </w:tc>
      </w:tr>
      <w:tr>
        <w:trPr/>
        <w:tc>
          <w:tcPr>
            <w:tcW w:w="844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8.6</w:t>
            </w:r>
          </w:p>
        </w:tc>
        <w:tc>
          <w:tcPr>
            <w:tcW w:w="4040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Мероприятия в рамках Всемирного дня борьбы со СПИДом</w:t>
            </w:r>
          </w:p>
        </w:tc>
        <w:tc>
          <w:tcPr>
            <w:tcW w:w="2443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декабрь</w:t>
            </w:r>
          </w:p>
        </w:tc>
        <w:tc>
          <w:tcPr>
            <w:tcW w:w="2478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Комитет по ОКС и ДМ, руководители образовательных учреждений</w:t>
            </w:r>
          </w:p>
        </w:tc>
        <w:tc>
          <w:tcPr>
            <w:tcW w:w="2494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рамках подпрограммы «Профилактика асоциальных явлений на территории Камышловского городского округа»</w:t>
            </w:r>
          </w:p>
        </w:tc>
        <w:tc>
          <w:tcPr>
            <w:tcW w:w="2827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Профилактика заболеваний ВИЧ, СПИда</w:t>
            </w:r>
          </w:p>
        </w:tc>
      </w:tr>
    </w:tbl>
    <w:p>
      <w:pPr>
        <w:pStyle w:val="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ГАУЗ СО «Камышловская ЦРБ» - Государственное автономное учреждение здравоохранения Свердловской области «Камышловская центральная районная больница»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Комитет по ОКС и ДМ - Комитет по образованию, культуре, спорту и делам молодежи администрации Камышловского городского округа</w:t>
      </w:r>
    </w:p>
    <w:p>
      <w:pPr>
        <w:pStyle w:val="Normal"/>
        <w:ind w:firstLine="709"/>
        <w:jc w:val="both"/>
        <w:rPr>
          <w:rFonts w:ascii="Liberation Serif" w:hAnsi="Liberation Serif" w:cs="Times New Roman"/>
          <w:color w:val="111111"/>
          <w:sz w:val="28"/>
          <w:szCs w:val="28"/>
        </w:rPr>
      </w:pPr>
      <w:r>
        <w:rPr/>
      </w:r>
    </w:p>
    <w:sectPr>
      <w:headerReference w:type="default" r:id="rId4"/>
      <w:type w:val="nextPage"/>
      <w:pgSz w:orient="landscape" w:w="16838" w:h="11906"/>
      <w:pgMar w:left="1134" w:right="1134" w:header="1134" w:top="1686" w:footer="0" w:bottom="851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pacing w:before="0" w:after="16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414" w:hanging="705"/>
      </w:pPr>
      <w:rPr>
        <w:sz w:val="28"/>
        <w:b w:val="false"/>
        <w:bCs w:val="false"/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" w:cstheme="minorBidi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cb6722"/>
    <w:rPr>
      <w:rFonts w:ascii="Segoe UI" w:hAnsi="Segoe UI" w:cs="Segoe UI"/>
      <w:sz w:val="18"/>
      <w:szCs w:val="18"/>
    </w:rPr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e03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cb6722"/>
    <w:pPr/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e87a36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606ebc"/>
    <w:pPr>
      <w:spacing w:beforeAutospacing="1" w:afterAutospacing="1"/>
    </w:pPr>
    <w:rPr>
      <w:rFonts w:cs="Times New Roman"/>
      <w:sz w:val="24"/>
      <w:szCs w:val="24"/>
    </w:rPr>
  </w:style>
  <w:style w:type="paragraph" w:styleId="4" w:customStyle="1">
    <w:name w:val="Основной текст (4)"/>
    <w:basedOn w:val="Normal"/>
    <w:qFormat/>
    <w:pPr>
      <w:widowControl w:val="false"/>
      <w:shd w:val="clear" w:color="auto" w:fill="FFFFFF"/>
      <w:spacing w:before="660" w:after="60"/>
      <w:jc w:val="center"/>
    </w:pPr>
    <w:rPr>
      <w:b/>
      <w:bCs/>
      <w:sz w:val="27"/>
      <w:szCs w:val="27"/>
    </w:rPr>
  </w:style>
  <w:style w:type="paragraph" w:styleId="Style21" w:customStyle="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21"/>
    <w:pPr/>
    <w:rPr/>
  </w:style>
  <w:style w:type="paragraph" w:styleId="Style23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5d44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856EF-DB79-41D9-99AE-7E17A58C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LibreOffice/6.4.7.2$Linux_X86_64 LibreOffice_project/40$Build-2</Application>
  <Pages>19</Pages>
  <Words>2200</Words>
  <Characters>15725</Characters>
  <CharactersWithSpaces>18272</CharactersWithSpaces>
  <Paragraphs>374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2022-02-27T18:27:00Z</dcterms:created>
  <dc:creator>PulnikovaAA</dc:creator>
  <dc:description/>
  <dc:language>ru-RU</dc:language>
  <cp:lastModifiedBy/>
  <cp:lastPrinted>2022-02-28T16:05:21Z</cp:lastPrinted>
  <dcterms:modified xsi:type="dcterms:W3CDTF">2022-02-28T16:07:16Z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