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bookmarkStart w:id="0" w:name="__DdeLink__35369_2389077332"/>
      <w:bookmarkStart w:id="1" w:name="_GoBack"/>
      <w:bookmarkEnd w:id="1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11</w:t>
      </w: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.09.2019  N </w:t>
      </w:r>
      <w:bookmarkEnd w:id="0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79</w:t>
      </w: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3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</w:r>
    </w:p>
    <w:p>
      <w:pPr>
        <w:pStyle w:val="Normal"/>
        <w:ind w:hanging="0"/>
        <w:jc w:val="center"/>
        <w:rPr/>
      </w:pPr>
      <w:r>
        <w:rPr>
          <w:rFonts w:cs="Liberation Serif" w:ascii="Liberation Serif" w:hAnsi="Liberation Serif"/>
          <w:b/>
          <w:i w:val="false"/>
          <w:iCs w:val="false"/>
          <w:sz w:val="28"/>
        </w:rPr>
        <w:t>О внесении изменений в Программу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округу, утвержденную постановлением администрации Камышловского городского округа от 31.05.2019 № 507 «Об организации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округу»</w:t>
      </w:r>
    </w:p>
    <w:p>
      <w:pPr>
        <w:pStyle w:val="Normal"/>
        <w:widowControl w:val="false"/>
        <w:rPr>
          <w:rFonts w:ascii="Calibri" w:hAnsi="Calibri" w:cs="Calibri"/>
          <w:b/>
          <w:b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</w:r>
    </w:p>
    <w:p>
      <w:pPr>
        <w:pStyle w:val="Normal"/>
        <w:widowControl/>
        <w:autoSpaceDE w:val="false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Руководствуясь статьей 6 Федерального закона от 27 июля 2010 года № 190-ФЗ «О теплоснабжении» («Российская газета», № 168, 30.07.2010), пунктом 4 статьи 16 Федерального закона от 06 октября 2003 года №131-ФЗ «Об общих принципах организации местного самоуправления в Российской Федерации» («Российская газета», № 202, 08.10.2003), Правилами оценки готовности к отопительному периоду, утвержденными Приказом Министерства энергетики Российской Федерации от 12 марта 2013 года  № 103 («Российская газета», № 101, 15.05.2013), пунктом 6 статьи 30 Устава Камышловского городского округа («Камышловские известия», № 58, 23.07.2005),  </w:t>
      </w:r>
      <w:r>
        <w:rPr>
          <w:rFonts w:cs="Liberation Serif" w:ascii="Liberation Serif" w:hAnsi="Liberation Serif"/>
          <w:sz w:val="28"/>
          <w:szCs w:val="28"/>
        </w:rPr>
        <w:t>администрация</w:t>
      </w:r>
      <w:r>
        <w:rPr>
          <w:rFonts w:cs="Liberation Serif" w:ascii="Liberation Serif" w:hAnsi="Liberation Serif"/>
          <w:sz w:val="28"/>
          <w:szCs w:val="28"/>
        </w:rPr>
        <w:t xml:space="preserve"> Камышловского городского округа </w:t>
      </w:r>
    </w:p>
    <w:p>
      <w:pPr>
        <w:pStyle w:val="33"/>
        <w:widowControl w:val="false"/>
        <w:shd w:val="clear" w:fill="auto"/>
        <w:bidi w:val="0"/>
        <w:spacing w:lineRule="exact" w:line="322" w:before="0" w:after="0"/>
        <w:ind w:left="57" w:right="0" w:hanging="57"/>
        <w:jc w:val="left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ПОСТАНОВЛЯЕТ: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в </w:t>
      </w:r>
      <w:r>
        <w:rPr>
          <w:rFonts w:ascii="Liberation Serif" w:hAnsi="Liberation Serif"/>
          <w:sz w:val="28"/>
          <w:szCs w:val="28"/>
        </w:rPr>
        <w:t xml:space="preserve">Программу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округу, </w:t>
      </w:r>
      <w:r>
        <w:rPr>
          <w:rFonts w:ascii="Liberation Serif" w:hAnsi="Liberation Serif"/>
          <w:sz w:val="28"/>
          <w:szCs w:val="28"/>
        </w:rPr>
        <w:t xml:space="preserve">утвержденную постановлением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администрации Камышловского городского округа от 31.05.2019 № 507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Об организации  проведения проверки готовности к отопительному периоду  2019/2020 года теплоснабжающих, теплосетевых организаций и потребителей тепловой энергии по Камышловскому городскому округу»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следующие изменения: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-   таблицу 1 пункта 2.1. читать в следующей редакции (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рил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ожение 1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);</w:t>
      </w:r>
    </w:p>
    <w:p>
      <w:pPr>
        <w:pStyle w:val="Normal"/>
        <w:widowControl/>
        <w:ind w:left="0" w:right="0" w:firstLine="720"/>
        <w:jc w:val="both"/>
        <w:rPr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- приложение 1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 Программе п</w:t>
      </w:r>
      <w:r>
        <w:rPr>
          <w:rStyle w:val="Style19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роведения проверки готовности к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отопительному периоду   2019/2020 года теплоснабжающих, теплосетевых организаций и потребителей тепловой энергии по Камышловскому городскому округу читать в следующей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редакции (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рил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ожение 2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Контроль за исполнением </w:t>
      </w:r>
      <w:r>
        <w:rPr>
          <w:rFonts w:cs="Liberation Serif" w:ascii="Liberation Serif" w:hAnsi="Liberation Serif"/>
          <w:sz w:val="28"/>
          <w:szCs w:val="28"/>
        </w:rPr>
        <w:t xml:space="preserve">настоящего </w:t>
      </w:r>
      <w:r>
        <w:rPr>
          <w:rFonts w:cs="Liberation Serif" w:ascii="Liberation Serif" w:hAnsi="Liberation Serif"/>
          <w:sz w:val="28"/>
          <w:szCs w:val="28"/>
        </w:rPr>
        <w:t xml:space="preserve">постановления </w:t>
      </w:r>
      <w:r>
        <w:rPr>
          <w:rFonts w:cs="Liberation Serif" w:ascii="Liberation Serif" w:hAnsi="Liberation Serif"/>
          <w:sz w:val="28"/>
          <w:szCs w:val="28"/>
        </w:rPr>
        <w:t xml:space="preserve">возложить на первого заместителя главы администрации Камышловского городского округа Е.А. Бессонова.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  <w:tab/>
        <w:tab/>
        <w:t xml:space="preserve">                                   А.В. Половников</w:t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2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2"/>
        <w:jc w:val="center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</w:r>
    </w:p>
    <w:tbl>
      <w:tblPr>
        <w:tblW w:w="985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</w:t>
            </w:r>
            <w:r>
              <w:rPr>
                <w:rFonts w:ascii="Liberation Serif" w:hAnsi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   .2019  года  № 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«О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внесении изменений в Программу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округу, утвержденную постановлением администрации Камышловского городского округа от 31.05.2019 № 507 «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Об организации  проведения проверки готовности к отопительному периоду  2019/2020 года теплоснабжающих, теплосетевых организаций и потребителей тепловой энергии по Камышловскому городскому округу»</w:t>
            </w:r>
          </w:p>
        </w:tc>
      </w:tr>
    </w:tbl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/>
      </w:pPr>
      <w:r>
        <w:rPr>
          <w:rStyle w:val="Style19"/>
          <w:rFonts w:ascii="Liberation Serif" w:hAnsi="Liberation Serif"/>
          <w:sz w:val="28"/>
          <w:szCs w:val="28"/>
        </w:rPr>
        <w:t>Программа проведения проверки готовности к</w:t>
      </w:r>
      <w:r>
        <w:rPr>
          <w:rFonts w:ascii="Liberation Serif" w:hAnsi="Liberation Serif"/>
          <w:b/>
          <w:sz w:val="28"/>
          <w:szCs w:val="28"/>
        </w:rPr>
        <w:t xml:space="preserve"> отопительному периоду   2019/2020 года теплоснабжающих, теплосетевых организаций и потребителей тепловой энергии 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9"/>
          <w:rFonts w:ascii="Liberation Serif" w:hAnsi="Liberation Serif"/>
          <w:sz w:val="28"/>
          <w:szCs w:val="28"/>
        </w:rPr>
        <w:t xml:space="preserve">      </w:t>
      </w:r>
    </w:p>
    <w:p>
      <w:pPr>
        <w:pStyle w:val="Style31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929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88"/>
        <w:gridCol w:w="3980"/>
        <w:gridCol w:w="1549"/>
        <w:gridCol w:w="2024"/>
      </w:tblGrid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right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№ </w:t>
            </w:r>
            <w:r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/>
            </w:pPr>
            <w:r>
              <w:rPr>
                <w:rStyle w:val="Style19"/>
                <w:rFonts w:ascii="Liberation Serif" w:hAnsi="Liberation Serif"/>
              </w:rPr>
              <w:t>Объекты, подлежащие      проверке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/>
            </w:pPr>
            <w:r>
              <w:rPr>
                <w:rStyle w:val="Style19"/>
                <w:rFonts w:ascii="Liberation Serif" w:hAnsi="Liberation Serif"/>
              </w:rPr>
              <w:t>Наименование организации, количество объектов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/>
            </w:pPr>
            <w:r>
              <w:rPr>
                <w:rStyle w:val="Style19"/>
                <w:rFonts w:ascii="Liberation Serif" w:hAnsi="Liberation Serif"/>
              </w:rPr>
              <w:t>Сроки проведения  проверки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rPr/>
            </w:pPr>
            <w:r>
              <w:rPr>
                <w:rStyle w:val="Style19"/>
                <w:rFonts w:ascii="Liberation Serif" w:hAnsi="Liberation Serif"/>
              </w:rPr>
              <w:t>Документы, проверяемые в ходе проверки</w:t>
            </w:r>
          </w:p>
        </w:tc>
      </w:tr>
      <w:tr>
        <w:trPr>
          <w:trHeight w:val="3790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Теплоснабжающие  и теплосетевые организации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Теплоснабжающие организации: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МУП «Теплоснабжающая организация».                                                      2. ООО «СтройКонсалтинг»                                                                                                          3. ФГБУ «Центральное жилищно-коммунальное управление» Минобороны России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ОАО "Российские железные дороги",  Свердловская дирекция по тепловодоснабжению - структурное подразделение Центральной дирекции по тепловодоснабжению - филиала ОАО "РЖД" (котельная ШЧ-7 ст.Камышлов Тюменского территориального участка)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ООО «Русская Энергетика»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Теплосетевые организации: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ООО «Теплогарант»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02.09.2019 – </w:t>
            </w:r>
            <w:r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0.2019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Приложением 4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Потребители тепловой энергии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 МАОУ «Школа №1 имени Героя Советского Союза Бориса Самуиловича Семенова» Камышловского городского округа                                                      2. МАОУ  «Школа №3» Камышловского городского округа                             3. МАОУ «Лицей №5» Камышловского городского округа                                                       4. МАОУ «Школа №6»  Камышловского городского округа                                                       5. МАОУ «Детский сад №5» «Радуга»  Камышловского городского округа                                                  6. МАОУ  «Школа № 7» Камышловского городского округа                                                             7. МАОУ – средняя  общеобразовательная школа №58   Камышловского городского округа                                                                                                8.  МАДОУ «Детский сад  №2»  Камышловского городского округа                                                                                                       9. МАДОУ «Детский сад  №12»   Камышловского городского округа                                                                         10. МАДОУ «Детский сад  №13»  Камышловского городского округа                                                                    11. МАДОУ «Детский сад комбинированного вида №14»  Камышловского городского округа                                                                      12. МАДОУ «Детский сад  №16»    Камышловского городского округа                                                               13. МАДОУ «Детский сад №92»     Камышловского городского округа                                                                 14. МАДОУ «Детский сад  №170»  Камышловского городского округа                                                          15. МАДОУ «Центр развития ребенка – детский сад№4» Камышловского городского округа                                                  16. МАУ ДО «Дом детского творчества»  Камышловского городского округа                                                                                               17. МАУ ДО «Камышловская детская  школа искусств №1»                                      18. МБУ ДО «Камышловская детская  школа искусств №2»              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19. МБУК "Камышловская централизованная библиотечная система"  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20. АМУК Камышловского городского округа  «Центр культуры и досуга»                           21. МАУ ДО Камышловского городского округа «Детская хореографическая школа»                   22. МБУК Камышловского городского округа «Камышловский краеведческий музей»                                                                  23. МБУ «Центр развития физической культуры, спорта и патриотического воспитания»  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 ГБОУПО СО «Камышловское  профессиональное училище»</w:t>
            </w:r>
            <w:r>
              <w:rPr>
                <w:rFonts w:ascii="Liberation Serif" w:hAnsi="Liberation Serif"/>
              </w:rPr>
              <w:t xml:space="preserve">  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25. МБУ ДО «Детская художественная школа»   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МАДОУ «Детский сад общеразвивающего вида с приоритетным осуществлением художественно-эстетического развития №1» Камышловского городского округа</w:t>
            </w:r>
            <w:r>
              <w:rPr>
                <w:rFonts w:ascii="Liberation Serif" w:hAnsi="Liberation Serif"/>
              </w:rPr>
              <w:t xml:space="preserve">  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   МАУ ДО «ДЮСШ» Камышловского городского округа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 МУП «Водоканал Камышлов»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29. ГБУЗ СО «Камышловская центральная районная больница»   </w:t>
            </w:r>
          </w:p>
          <w:p>
            <w:pPr>
              <w:pStyle w:val="Normal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15.08.2019 – </w:t>
            </w:r>
            <w:r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.2019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Приложением 5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Жилой фонд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ООО «Эстра-УК»;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ООО «Городская управляющая компания – Камышлов";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ООО «Камышловская управляющая компания».     </w:t>
            </w:r>
          </w:p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15.08.2019 –</w:t>
            </w:r>
            <w:r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.2019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napToGrid w:val="fals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4535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4535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4535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Приложение № 2</w:t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 .2019  года  №   </w:t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внесении изменений в Программу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округу, утвержденную постановлением администрации Камышловского городского округа от 31.05.2019 № 507 «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Об организации  проведения проверки готовности к отопительному периоду  2019/2020 года теплоснабжающих, теплосетевых организаций и потребителей тепловой энергии по Камышловскому городскому округу»</w:t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АКТ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проверки готовности к отопительному периоду 2019 - 2020 гг.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u w:val="single"/>
        </w:rPr>
        <w:t xml:space="preserve">       </w:t>
      </w:r>
      <w:r>
        <w:rPr>
          <w:rFonts w:cs="Times New Roman" w:ascii="Liberation Serif" w:hAnsi="Liberation Serif"/>
          <w:sz w:val="24"/>
          <w:szCs w:val="24"/>
          <w:u w:val="single"/>
        </w:rPr>
        <w:t xml:space="preserve">_________           </w:t>
      </w: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Liberation Serif" w:hAnsi="Liberation Serif"/>
          <w:sz w:val="24"/>
          <w:szCs w:val="24"/>
          <w:u w:val="single"/>
        </w:rPr>
        <w:t>_                20__ г.     _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(</w:t>
      </w:r>
      <w:r>
        <w:rPr>
          <w:rFonts w:cs="Times New Roman" w:ascii="Liberation Serif" w:hAnsi="Liberation Serif"/>
        </w:rPr>
        <w:t>место составления акта</w:t>
      </w:r>
      <w:r>
        <w:rPr>
          <w:rFonts w:cs="Times New Roman" w:ascii="Liberation Serif" w:hAnsi="Liberation Serif"/>
          <w:sz w:val="24"/>
          <w:szCs w:val="24"/>
        </w:rPr>
        <w:t>)                                                                                        (</w:t>
      </w:r>
      <w:r>
        <w:rPr>
          <w:rFonts w:cs="Times New Roman" w:ascii="Liberation Serif" w:hAnsi="Liberation Serif"/>
        </w:rPr>
        <w:t>дата составления акта</w:t>
      </w:r>
      <w:r>
        <w:rPr>
          <w:rFonts w:cs="Times New Roman" w:ascii="Liberation Serif" w:hAnsi="Liberation Serif"/>
          <w:sz w:val="24"/>
          <w:szCs w:val="24"/>
        </w:rPr>
        <w:t>)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Комиссия, образованная распоряжением Главы ________________ городского округа от ______________ № ______,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составе: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председатель комиссии – ___________________________ – заместитель главы Администрации ______________________городского округа.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члены комиссии: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- ________________________ – ___________________________________________________;</w:t>
      </w:r>
    </w:p>
    <w:p>
      <w:pPr>
        <w:pStyle w:val="Normal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vertAlign w:val="superscript"/>
        </w:rPr>
        <w:t xml:space="preserve">                  </w:t>
      </w:r>
      <w:r>
        <w:rPr>
          <w:rFonts w:cs="Times New Roman" w:ascii="Liberation Serif" w:hAnsi="Liberation Serif"/>
          <w:sz w:val="24"/>
          <w:szCs w:val="24"/>
          <w:vertAlign w:val="superscript"/>
        </w:rPr>
        <w:t>фамилия, имя, отчество                                                                                   должность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- ________________________ – ___________________________________________________;</w:t>
      </w:r>
    </w:p>
    <w:p>
      <w:pPr>
        <w:pStyle w:val="Normal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vertAlign w:val="superscript"/>
        </w:rPr>
        <w:t xml:space="preserve">                  </w:t>
      </w:r>
      <w:r>
        <w:rPr>
          <w:rFonts w:cs="Times New Roman" w:ascii="Liberation Serif" w:hAnsi="Liberation Serif"/>
          <w:sz w:val="24"/>
          <w:szCs w:val="24"/>
          <w:vertAlign w:val="superscript"/>
        </w:rPr>
        <w:t>фамилия, имя, отчество                                                                                   должность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- ________________________ – ___________________________________________________;</w:t>
      </w:r>
    </w:p>
    <w:p>
      <w:pPr>
        <w:pStyle w:val="Normal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vertAlign w:val="superscript"/>
        </w:rPr>
        <w:t xml:space="preserve">                  </w:t>
      </w:r>
      <w:r>
        <w:rPr>
          <w:rFonts w:cs="Times New Roman" w:ascii="Liberation Serif" w:hAnsi="Liberation Serif"/>
          <w:sz w:val="24"/>
          <w:szCs w:val="24"/>
          <w:vertAlign w:val="superscript"/>
        </w:rPr>
        <w:t>фамилия, имя, отчество                                                                                   должность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- представитель Уральского управление Ростехнадзора (по согласованию).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Программой проведения проверки готовности к отопительному периоду 20__-20__ годов, утвержденной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360" w:before="0" w:after="0"/>
        <w:ind w:left="23" w:right="0" w:hanging="0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>
      <w:pPr>
        <w:pStyle w:val="Normal"/>
        <w:spacing w:lineRule="auto" w:line="360" w:before="0" w:after="0"/>
        <w:ind w:left="23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в период с ___________ г. по ___________</w:t>
      </w:r>
      <w:r>
        <w:rPr>
          <w:rFonts w:cs="Times New Roman" w:ascii="Liberation Serif" w:hAnsi="Liberation Serif"/>
          <w:sz w:val="20"/>
          <w:szCs w:val="20"/>
        </w:rPr>
        <w:t xml:space="preserve"> г.</w:t>
      </w:r>
      <w:r>
        <w:rPr>
          <w:rFonts w:ascii="Liberation Serif" w:hAnsi="Liberation Serif"/>
          <w:sz w:val="24"/>
          <w:szCs w:val="24"/>
        </w:rPr>
        <w:t xml:space="preserve"> в </w:t>
      </w:r>
      <w:r>
        <w:rPr>
          <w:rFonts w:cs="Times New Roman" w:ascii="Liberation Serif" w:hAnsi="Liberation Serif"/>
          <w:sz w:val="24"/>
          <w:szCs w:val="24"/>
        </w:rPr>
        <w:t>соответствии с Федеральным законом от 27 июля 2010 г. № 190-ФЗ "О теплоснабжении" провела проверку готовности к отопительному периоду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b/>
          <w:sz w:val="24"/>
          <w:szCs w:val="24"/>
          <w:u w:val="single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23" w:right="0" w:hanging="0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(полное наименование предприятия)</w:t>
      </w:r>
    </w:p>
    <w:p>
      <w:pPr>
        <w:pStyle w:val="Normal"/>
        <w:spacing w:before="0" w:after="0"/>
        <w:ind w:left="0" w:right="0"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 проведением проверки ознакомлен: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Проверка готовности к отопительному периоду проводилась в отношении следующих объектов: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Многоквартирный жилой дом, расположенный по адресу Свердловская обл., </w:t>
        <w:br/>
        <w:t>_____________________________</w:t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ходе проведения проверки готовности к отопительному периоду комиссия установила: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5000" w:type="pct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013"/>
        <w:gridCol w:w="1522"/>
        <w:gridCol w:w="3445"/>
      </w:tblGrid>
      <w:tr>
        <w:trPr>
          <w:trHeight w:val="615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18"/>
                <w:szCs w:val="18"/>
              </w:rPr>
              <w:t>№</w:t>
            </w:r>
            <w:r>
              <w:rPr>
                <w:rFonts w:eastAsia="Times New Roman" w:cs="Times New Roman"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cs="Times New Roman"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Проверяемые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условия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Примечание</w:t>
            </w:r>
          </w:p>
        </w:tc>
      </w:tr>
      <w:tr>
        <w:trPr>
          <w:trHeight w:val="984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теплосетевых организаций, а также потребителей тепловой энергии: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промывки теплообменного оборудования тепловых пунктов.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Character20style"/>
                <w:rFonts w:eastAsia="Calibri"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промывки систем отопления зданий и сооружений.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ind w:left="-15" w:right="0" w:hanging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ind w:left="-15" w:right="0" w:hanging="0"/>
              <w:jc w:val="both"/>
              <w:rPr>
                <w:rFonts w:ascii="Liberation Serif" w:hAnsi="Liberation Serif" w:eastAsia="Calibri"/>
                <w:color w:val="000000"/>
                <w:spacing w:val="0"/>
              </w:rPr>
            </w:pPr>
            <w:r>
              <w:rPr>
                <w:rFonts w:eastAsia="Calibri" w:ascii="Liberation Serif" w:hAnsi="Liberation Serif"/>
                <w:color w:val="000000"/>
                <w:spacing w:val="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Режимные карты для тепловых пунктов теплопотребляющих установок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ind w:left="-15" w:right="0" w:hanging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Годовой план-график ремонта систем теплопотребления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ind w:left="-15" w:right="0" w:hanging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ind w:left="-15" w:right="0" w:hanging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ind w:left="-15" w:right="0" w:hanging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осмотра зданий (чердаки, лестничные клетки, подвалы, двери, остекление)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ind w:left="754" w:right="0" w:hanging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Акт проверки работоспособности защит систем теплопотребления.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Акты проверки состояния трубопроводов, арматуры и тепловой изоляции в пределах тепловых пунктов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 w:ascii="Liberation Serif" w:hAnsi="Liberation Serif"/>
                <w:color w:val="000000"/>
                <w:spacing w:val="0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Акт присоединения систем теплопотребления к сетям теплоснабжения согласно техническим условиям и условиям договора теплоснабжения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Акт проверки на плотность оборудования тепловых пунктов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 w:eastAsia="Calibri"/>
                <w:color w:val="000000"/>
                <w:spacing w:val="0"/>
              </w:rPr>
            </w:pPr>
            <w:r>
              <w:rPr>
                <w:rFonts w:eastAsia="Calibri" w:ascii="Liberation Serif" w:hAnsi="Liberation Serif"/>
                <w:color w:val="000000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Справка о задолженности за поставленные тепловую энергию (мощность), теплоноситель.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ind w:left="34" w:right="0" w:hanging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 w:eastAsia="Calibri"/>
                <w:i/>
                <w:i/>
                <w:color w:val="000000"/>
                <w:spacing w:val="0"/>
              </w:rPr>
            </w:pPr>
            <w:r>
              <w:rPr>
                <w:rFonts w:eastAsia="Calibri" w:ascii="Liberation Serif" w:hAnsi="Liberation Serif"/>
                <w:i/>
                <w:color w:val="000000"/>
                <w:spacing w:val="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Перечень аварийного запаса расходных материалов и запасных частей.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 w:eastAsia="Calibri"/>
                <w:color w:val="000000"/>
                <w:spacing w:val="0"/>
              </w:rPr>
            </w:pPr>
            <w:r>
              <w:rPr>
                <w:rFonts w:eastAsia="Calibri" w:ascii="Liberation Serif" w:hAnsi="Liberation Serif"/>
                <w:color w:val="000000"/>
                <w:spacing w:val="0"/>
              </w:rPr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ascii="Liberation Serif" w:hAnsi="Liberation Serif" w:eastAsia="Calibri"/>
                <w:i/>
                <w:i/>
                <w:color w:val="000000"/>
                <w:spacing w:val="0"/>
              </w:rPr>
            </w:pPr>
            <w:r>
              <w:rPr>
                <w:rFonts w:eastAsia="Calibri" w:ascii="Liberation Serif" w:hAnsi="Liberation Serif"/>
                <w:i/>
                <w:color w:val="000000"/>
                <w:spacing w:val="0"/>
              </w:rPr>
            </w:r>
          </w:p>
        </w:tc>
      </w:tr>
    </w:tbl>
    <w:p>
      <w:pPr>
        <w:pStyle w:val="Normal"/>
        <w:pBdr>
          <w:bottom w:val="single" w:sz="4" w:space="1" w:color="000000"/>
        </w:pBdr>
        <w:spacing w:lineRule="auto" w:line="228" w:before="0" w:after="33"/>
        <w:ind w:left="18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28" w:before="0" w:after="33"/>
        <w:ind w:left="18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Готово/не готово</w:t>
      </w:r>
    </w:p>
    <w:p>
      <w:pPr>
        <w:pStyle w:val="Normal"/>
        <w:spacing w:lineRule="auto" w:line="228" w:before="0" w:after="278"/>
        <w:ind w:left="180" w:right="0" w:hanging="0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(готовность/неготовность к работе в отопительном периоде)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Вывод комиссии по итогам проведения проверки готовности к отопительному периоду: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объекта)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Готово к отопительному периоду ______________________ гг.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28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Документы, рассмотренные комиссией (перечислить):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Председатель комиссии:    __________________________________  ФИО.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</w:t>
      </w:r>
      <w:r>
        <w:rPr>
          <w:rFonts w:cs="Times New Roman" w:ascii="Liberation Serif" w:hAnsi="Liberation Serif"/>
          <w:sz w:val="24"/>
          <w:szCs w:val="24"/>
        </w:rPr>
        <w:t>(</w:t>
      </w:r>
      <w:r>
        <w:rPr>
          <w:rFonts w:cs="Times New Roman" w:ascii="Liberation Serif" w:hAnsi="Liberation Serif"/>
        </w:rPr>
        <w:t>подпись, расшифровка подписи</w:t>
      </w:r>
      <w:r>
        <w:rPr>
          <w:rFonts w:cs="Times New Roman" w:ascii="Liberation Serif" w:hAnsi="Liberation Serif"/>
          <w:sz w:val="24"/>
          <w:szCs w:val="24"/>
        </w:rPr>
        <w:t>)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Члены комиссии:                __________________________________ ФИО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</w:t>
      </w:r>
      <w:r>
        <w:rPr>
          <w:rFonts w:cs="Times New Roman" w:ascii="Liberation Serif" w:hAnsi="Liberation Serif"/>
          <w:sz w:val="24"/>
          <w:szCs w:val="24"/>
        </w:rPr>
        <w:t>(</w:t>
      </w:r>
      <w:r>
        <w:rPr>
          <w:rFonts w:cs="Times New Roman" w:ascii="Liberation Serif" w:hAnsi="Liberation Serif"/>
        </w:rPr>
        <w:t>подпись, расшифровка подписи</w:t>
      </w:r>
      <w:r>
        <w:rPr>
          <w:rFonts w:cs="Times New Roman" w:ascii="Liberation Serif" w:hAnsi="Liberation Serif"/>
          <w:sz w:val="24"/>
          <w:szCs w:val="24"/>
        </w:rPr>
        <w:t>)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28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                                 </w:t>
      </w:r>
      <w:r>
        <w:rPr>
          <w:rFonts w:cs="Times New Roman" w:ascii="Liberation Serif" w:hAnsi="Liberation Serif"/>
          <w:sz w:val="24"/>
          <w:szCs w:val="24"/>
        </w:rPr>
        <w:t>_____________________________ ФИО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</w:t>
      </w:r>
      <w:r>
        <w:rPr>
          <w:rFonts w:cs="Times New Roman" w:ascii="Liberation Serif" w:hAnsi="Liberation Serif"/>
          <w:sz w:val="24"/>
          <w:szCs w:val="24"/>
        </w:rPr>
        <w:t>(</w:t>
      </w:r>
      <w:r>
        <w:rPr>
          <w:rFonts w:cs="Times New Roman" w:ascii="Liberation Serif" w:hAnsi="Liberation Serif"/>
        </w:rPr>
        <w:t>подпись, расшифровка подписи</w:t>
      </w:r>
      <w:r>
        <w:rPr>
          <w:rFonts w:cs="Times New Roman" w:ascii="Liberation Serif" w:hAnsi="Liberation Serif"/>
          <w:sz w:val="24"/>
          <w:szCs w:val="24"/>
        </w:rPr>
        <w:t>)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С актом проверки готовности ознакомлен, один экземпляр акта на руки получил: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"__" _____________ 20__ г. </w:t>
      </w:r>
    </w:p>
    <w:p>
      <w:pPr>
        <w:pStyle w:val="Normal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</w:rPr>
        <w:t>/ ____</w:t>
      </w:r>
      <w:r>
        <w:rPr>
          <w:rFonts w:eastAsia="Times New Roman" w:cs="Times New Roman" w:ascii="Liberation Serif" w:hAnsi="Liberation Serif"/>
          <w:sz w:val="24"/>
          <w:szCs w:val="24"/>
          <w:u w:val="single"/>
        </w:rPr>
        <w:t xml:space="preserve">Ф И О       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 /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(подпись, расшифровка подписи руководителя (его уполномоченного представителя)муниципального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периоду).</w:t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61">
    <w:name w:val="Заголовок 6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3">
    <w:name w:val="Основной текст 3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</w:rPr>
  </w:style>
  <w:style w:type="character" w:styleId="Style16">
    <w:name w:val="Нижний колонтитул Знак"/>
    <w:qFormat/>
    <w:rPr>
      <w:rFonts w:ascii="Times New Roman" w:hAnsi="Times New Roman" w:eastAsia="Times New Roman" w:cs="Times New Roman"/>
    </w:rPr>
  </w:style>
  <w:style w:type="character" w:styleId="31">
    <w:name w:val="Основной текст (3)_"/>
    <w:qFormat/>
    <w:rPr>
      <w:rFonts w:ascii="Times New Roman" w:hAnsi="Times New Roman" w:eastAsia="Times New Roman" w:cs="Times New Roman"/>
      <w:spacing w:val="-5"/>
      <w:sz w:val="26"/>
      <w:szCs w:val="26"/>
      <w:shd w:fill="FFFFFF" w:val="clear"/>
    </w:rPr>
  </w:style>
  <w:style w:type="character" w:styleId="Style17">
    <w:name w:val="Основной текст_"/>
    <w:qFormat/>
    <w:rPr>
      <w:rFonts w:ascii="Times New Roman" w:hAnsi="Times New Roman" w:eastAsia="Times New Roman" w:cs="Times New Roman"/>
      <w:spacing w:val="-2"/>
      <w:sz w:val="27"/>
      <w:szCs w:val="27"/>
      <w:shd w:fill="FFFFFF" w:val="clear"/>
    </w:rPr>
  </w:style>
  <w:style w:type="character" w:styleId="Style18">
    <w:name w:val="Основной текст с отступом Знак"/>
    <w:qFormat/>
    <w:rPr>
      <w:rFonts w:ascii="Times New Roman" w:hAnsi="Times New Roman" w:eastAsia="Times New Roman" w:cs="Times New Roman"/>
    </w:rPr>
  </w:style>
  <w:style w:type="character" w:styleId="Style19">
    <w:name w:val="Выделение жирным"/>
    <w:basedOn w:val="Style13"/>
    <w:qFormat/>
    <w:rPr>
      <w:b/>
      <w:bCs/>
    </w:rPr>
  </w:style>
  <w:style w:type="character" w:styleId="Character20style">
    <w:name w:val="Character_20_style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32">
    <w:name w:val="Основной текст 3"/>
    <w:basedOn w:val="Normal"/>
    <w:qFormat/>
    <w:pPr/>
    <w:rPr>
      <w:sz w:val="24"/>
      <w:szCs w:val="24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2">
    <w:name w:val="Основной текст 2"/>
    <w:basedOn w:val="Normal"/>
    <w:qFormat/>
    <w:pPr>
      <w:jc w:val="both"/>
    </w:pPr>
    <w:rPr>
      <w:sz w:val="28"/>
      <w:lang w:val="ru-RU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3">
    <w:name w:val="Основной текст (3)"/>
    <w:basedOn w:val="Normal"/>
    <w:qFormat/>
    <w:pPr>
      <w:widowControl w:val="false"/>
      <w:shd w:val="clear" w:fill="FFFFFF"/>
      <w:spacing w:lineRule="auto" w:line="240" w:before="60" w:after="60"/>
      <w:jc w:val="center"/>
    </w:pPr>
    <w:rPr>
      <w:b/>
      <w:bCs/>
      <w:spacing w:val="-5"/>
      <w:sz w:val="26"/>
      <w:szCs w:val="26"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exact" w:line="317" w:before="360" w:after="0"/>
    </w:pPr>
    <w:rPr>
      <w:spacing w:val="-2"/>
      <w:sz w:val="27"/>
      <w:szCs w:val="27"/>
    </w:rPr>
  </w:style>
  <w:style w:type="paragraph" w:styleId="Style28">
    <w:name w:val="Body Text Indent"/>
    <w:basedOn w:val="Normal"/>
    <w:pPr>
      <w:spacing w:before="0" w:after="120"/>
      <w:ind w:left="283" w:hanging="0"/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Nospacing">
    <w:name w:val="nospacing"/>
    <w:basedOn w:val="Normal"/>
    <w:qFormat/>
    <w:pPr>
      <w:widowControl/>
      <w:spacing w:before="280" w:after="280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20</TotalTime>
  <Application>LibreOffice/6.1.4.2$Windows_X86_64 LibreOffice_project/9d0f32d1f0b509096fd65e0d4bec26ddd1938fd3</Application>
  <Pages>8</Pages>
  <Words>1387</Words>
  <Characters>10698</Characters>
  <CharactersWithSpaces>14338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2019-08-07T11:42:00Z</dcterms:created>
  <dc:creator>Орготдел</dc:creator>
  <dc:description/>
  <dc:language>ru-RU</dc:language>
  <cp:lastModifiedBy/>
  <cp:lastPrinted>2019-09-11T09:27:01Z</cp:lastPrinted>
  <dcterms:modified xsi:type="dcterms:W3CDTF">2019-09-11T09:26:42Z</dcterms:modified>
  <cp:revision>5</cp:revision>
  <dc:subject/>
  <dc:title/>
</cp:coreProperties>
</file>