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645"/>
        <w:gridCol w:w="340"/>
        <w:gridCol w:w="340"/>
        <w:gridCol w:w="339"/>
        <w:gridCol w:w="237"/>
        <w:gridCol w:w="236"/>
        <w:gridCol w:w="235"/>
        <w:gridCol w:w="12357"/>
      </w:tblGrid>
      <w:tr>
        <w:trPr>
          <w:trHeight w:val="1399" w:hRule="atLeast"/>
        </w:trPr>
        <w:tc>
          <w:tcPr>
            <w:tcW w:w="2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64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Приложение № 1 к муниципальной программе  «Развитие образования, культуры, спорта и молодежной политики в Камышловском городском округе до 2027 года»</w:t>
            </w:r>
          </w:p>
        </w:tc>
      </w:tr>
      <w:tr>
        <w:trPr>
          <w:trHeight w:val="525" w:hRule="atLeast"/>
        </w:trPr>
        <w:tc>
          <w:tcPr>
            <w:tcW w:w="14965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>
        <w:trPr>
          <w:trHeight w:val="255" w:hRule="atLeast"/>
        </w:trPr>
        <w:tc>
          <w:tcPr>
            <w:tcW w:w="14965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965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Normal"/>
        <w:bidi w:val="0"/>
        <w:spacing w:before="0" w:after="0"/>
        <w:ind w:left="0" w:right="0" w:hanging="0"/>
        <w:contextualSpacing/>
        <w:rPr>
          <w:rFonts w:ascii="Times New Roman" w:hAnsi="Times New Roman"/>
        </w:rPr>
      </w:pPr>
      <w:r>
        <w:rPr/>
      </w:r>
    </w:p>
    <w:tbl>
      <w:tblPr>
        <w:tblW w:w="14967" w:type="dxa"/>
        <w:jc w:val="left"/>
        <w:tblInd w:w="-10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8"/>
        <w:gridCol w:w="2725"/>
        <w:gridCol w:w="1286"/>
        <w:gridCol w:w="1136"/>
        <w:gridCol w:w="1133"/>
        <w:gridCol w:w="1124"/>
        <w:gridCol w:w="1136"/>
        <w:gridCol w:w="1135"/>
        <w:gridCol w:w="1134"/>
        <w:gridCol w:w="1136"/>
        <w:gridCol w:w="2112"/>
      </w:tblGrid>
      <w:tr>
        <w:trPr>
          <w:trHeight w:val="390" w:hRule="atLeast"/>
          <w:cantSplit w:val="true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54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4967" w:type="dxa"/>
        <w:jc w:val="left"/>
        <w:tblInd w:w="-10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8"/>
        <w:gridCol w:w="2725"/>
        <w:gridCol w:w="1286"/>
        <w:gridCol w:w="1136"/>
        <w:gridCol w:w="1133"/>
        <w:gridCol w:w="1124"/>
        <w:gridCol w:w="1136"/>
        <w:gridCol w:w="1135"/>
        <w:gridCol w:w="1134"/>
        <w:gridCol w:w="1136"/>
        <w:gridCol w:w="2112"/>
      </w:tblGrid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системы дошкольного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1.1. oбеспечение доступности дошкольного образования для детей в возрасте от 3 до 7 лет;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Доступность дошкольного образования для детей в возрасте 3-7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Улучшение материально- технической базы образовательных организаций в целях создания современных условий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доступность дошкольного образования для детей от 1,5 лет до 3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муниципальный компонент регионального проекта "Содействие занятости на территории Свердловской области"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1.1.1.4.-.0.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соотвествии с целями и задачами проекта "Уральская инженерная школа"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педагогических работников дошкольных образовательных организаций, имеющих первую и высшую квалификационную категорию, от общего количества педагогических работников дошкольных 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1.1.1.7.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образовательных организаций, имеющих статус региональной инновационной образовательной площадки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1.1.2.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создание в дошкольных образовательных организацияхусловий для успешной социализации детей с ограниченными возможностями здоровья и детей- инвалидов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1.1.3. 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зданий муниципальных образовательных организаций дошкольного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Распоряжение Правительства Российской Федерации </w:t>
            </w:r>
            <w:r>
              <w:rPr/>
              <w:br/>
            </w:r>
            <w:r>
              <w:rPr>
                <w:sz w:val="20"/>
                <w:szCs w:val="20"/>
              </w:rPr>
              <w:t>от 06.10.2011   № 1757-р (Стратегия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социально-экономического развития Уральского федерального округа на период до 2020 года), </w:t>
            </w:r>
            <w:r>
              <w:rPr/>
              <w:br/>
            </w:r>
            <w:r>
              <w:rPr>
                <w:sz w:val="20"/>
                <w:szCs w:val="20"/>
              </w:rPr>
              <w:t>санитарно-эпидемиологические правила и нормативы, Федеральный закон от 22 июля 2008 года         № 123-ФЗ</w:t>
            </w:r>
            <w:r>
              <w:rPr/>
              <w:br/>
            </w:r>
            <w:r>
              <w:rPr>
                <w:sz w:val="20"/>
                <w:szCs w:val="20"/>
              </w:rPr>
              <w:t>«Технический регламент о требованиях пожарной безопасности»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системы общего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Охват детей школьного возраста в муниципальных общеобразовательных организациях Камышловского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образовательных организаций, имеющих статус региональной инновационной образовательной площадки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2.1.1.7.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образовательных организаций, реализующих образовательный процесс с применением дистанционных технологий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2.1.1.8.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учащихся, осваивающих дополнительные образовательные программы технической и естественно- научной направленности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2.1.1.9.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организации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Улучшение материально- технической базы образовательных организаций в целях создания современных условий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Количество информационных мероприятий по повышению общественного престижа педагогической деятельности, популяризации педагогической деятельности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Число детей, прошедших обучение в образовательных сменах Фонда поддержки талантливых детей и молодежи "Золотое сечение"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2.1.1.15.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число участников открытых онлайн- 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2264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2270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2280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2286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2.1.2. предоставление детям с ограниченными возможностями здоровья специального (коррекционного) образования в классах (группах) для обучающихся, воспитанников с ограниченными возможностями здоровья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 с ограниченными возможностями здоровья школьного возраста, охваченных общеобразовательными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лиц.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80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2.1.3. обеспечение доступности образования для детей-сирот и детей, оставшихся без попечения родителей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 транспорте, а также бесплатного проезда один раз в год к месту жительства и обратно к месту учёбы</w:t>
            </w:r>
          </w:p>
        </w:tc>
      </w:tr>
      <w:tr>
        <w:trPr>
          <w:trHeight w:val="306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от 21 декабря 1996 года № 159-ФЗ</w:t>
            </w:r>
            <w:r>
              <w:rPr/>
              <w:br/>
            </w:r>
            <w:r>
              <w:rPr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2.1.5.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Камышловского городского округа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2.1.5.1.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Указ Президента Российской Федерации от 07 мая 2012 года  № 599 «О мерах по реализации государственной политики в области образования и науки»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2.1.7.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2.1.7. 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2.1.7.1.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зданий муниципальных образовательных организаций общего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Распоряжение Правительства Российской Федерации </w:t>
            </w:r>
            <w:r>
              <w:rPr/>
              <w:br/>
            </w:r>
            <w:r>
              <w:rPr>
                <w:sz w:val="20"/>
                <w:szCs w:val="20"/>
              </w:rPr>
              <w:t>от 06.10.2011   № 1757-р (Стратегия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социально-экономического развития Уральского федерального округа на период до 2020 года), </w:t>
            </w:r>
            <w:r>
              <w:rPr/>
              <w:br/>
            </w:r>
            <w:r>
              <w:rPr>
                <w:sz w:val="20"/>
                <w:szCs w:val="20"/>
              </w:rPr>
              <w:t>санитарно-эпидемиологические правила и нормативы, Федеральный закон от 22 июля 2008 года         № 123-ФЗ</w:t>
            </w:r>
            <w:r>
              <w:rPr/>
              <w:br/>
            </w:r>
            <w:r>
              <w:rPr>
                <w:sz w:val="20"/>
                <w:szCs w:val="20"/>
              </w:rPr>
              <w:t>«Технический регламент о требованиях пожарной безопасности»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2.1.8.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2.1.8. 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2.1.8.1.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2.1.8.2.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детей-инвалидов, получающих общее образование на дому в дистанционной форме, от общей численности детей-инвалидов, которым не противопоказано обучение по дистанционным технологиям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2.1.11.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2.1.11. сохранение и развитие спортивной инфраструктуры муниципальных общеобразовательных организаций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2024 года"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306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2.1.11.2.0.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 спортивного комплекса "Готов к труду и обороне!"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Правительства Свердловской области от 29.12.2016 №919-ПП "Об утверждении государственной программы Свердловской области "Развитие системы образования в Свердловской области до 2024 года"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2.2. обеспечение реализации дополнительных общеразвивающих программ в общеобразовательных учреждениях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2.2.1. реализация мер по развитию научно- образовательной и творческой среды в образовательных учреждениях, развитие эффективной системы дополнительного образования детей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2.2.1.1.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численность обучающихся общеобразовательных учреждений, осваивающих дополнительные общеразвивающие программы (направленность: социально- педагогическая, туристско- краеведческая, художественная. физкультурно- спортивная, естественнонаучная, техническая)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2.2.1.2.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организация дополнительного профессионального образования педагогов и координация деятельности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2.3. создание условий для сохранения здоровья и развития детей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2.3.1. осуществление мероприятий по организации питания в муниципальных общеобразовательных организациях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2.3.1.2.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обучающихся льготных категорий, указанных в статье 22 Закона Свердловской области от 15 июля 2013 года №78-ОЗ,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2.3.1.3.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системы дополнительного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3.1. обеспечение доступности качественных образовательных услуг в сфере дополнительного образования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3.1.1. развитие системы дополнительного образования детей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Улучшение материально- технической базы образовательных организаций в целях создания современных условий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создание и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детей в возрасте от 5 до 18 лет, охваченных системой персонифицированного финансирования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Организация проведения общегородских мероприятий в сфере образования, культуры, физической культуры и спорта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3.1.2. обеспечение соответствия состояния зданий и помещений муниципальных образовательных организаций дополнительного образования требованиям пожарной безопасности и санитарного законодательства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зданий муниципальных образовательных организаций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Распоряжение Правительства Российской Федерации </w:t>
            </w:r>
            <w:r>
              <w:rPr/>
              <w:br/>
            </w:r>
            <w:r>
              <w:rPr>
                <w:sz w:val="20"/>
                <w:szCs w:val="20"/>
              </w:rPr>
              <w:t>от 06.10.2011   № 1757-р (Стратегия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социально-экономического развития Уральского федерального округа на период до 2020 года), </w:t>
            </w:r>
            <w:r>
              <w:rPr/>
              <w:br/>
            </w:r>
            <w:r>
              <w:rPr>
                <w:sz w:val="20"/>
                <w:szCs w:val="20"/>
              </w:rPr>
              <w:t>санитарно-эпидемиологические правила и нормативы, Федеральный закон от 22 июля 2008 года         № 123-ФЗ</w:t>
            </w:r>
            <w:r>
              <w:rPr/>
              <w:br/>
            </w:r>
            <w:r>
              <w:rPr>
                <w:sz w:val="20"/>
                <w:szCs w:val="20"/>
              </w:rPr>
              <w:t>«Технический регламент о требованиях пожарной безопасности»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Развитие культуры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4.1. "Обеспечение благоприятных условий для развития муниципальной сферы культуры, повышения привлекательности территорий и продвижение имиджа Камышлова через усиление роли культуры в процессах социальных преобразований и экономического развития Камышловского городского округа"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4.1.1. повышение доступности и качества услуг, оказываемых населению в сфере культуры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тыс.чел.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144,24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158,67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173,09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201,94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259,64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288,48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317,33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Распоряжение Министерства культуры Российской Федерации от 3 ноября 2020 г. № Р-1459 «О внесении изменений в распоряжение Министерства культуры Российской Федерации от 16.10.2020 № Р-1358 «О методологии расчета показателя «Число посещений культурных мероприятий» (далее РМКРФ от 16.10.2020 № Р-1358)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тыс.чел.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20,90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22,99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24,04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25,08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26,13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27,17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28,22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РМКРФ ОТ 16.10.2020 № Р-1358</w:t>
            </w:r>
          </w:p>
        </w:tc>
      </w:tr>
      <w:tr>
        <w:trPr>
          <w:trHeight w:val="7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тыс.чел.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61,78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67,96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74,14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86,49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111,21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123,56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135,92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РМКРФ ОТ 16.10.2020 № Р-1358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Число посетителей киносеансов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тысяча посещений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29,81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32,52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35,23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37,94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40,65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43,36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РМКРФ ОТ 16.10.2020 № Р-1358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Доля культурных мероприятий оздоровительно-просветительской направленности в общем количестве культурных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Правительства Свердловской области от 24.12.2020 года №999-ПП «Об утверждении комплексной программы Свердловской области на 2021-2024 годы «Общественное здоровье уральцев»» (далее ППСО от 24.12.2020 года №999-ПП)</w:t>
            </w:r>
          </w:p>
        </w:tc>
      </w:tr>
      <w:tr>
        <w:trPr>
          <w:trHeight w:val="58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обращений к порталу "Культура Урала. РФ"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Соглашение о достижении результатов и показателей муниципального компонента регионального проекта </w:t>
            </w:r>
            <w:r>
              <w:rPr/>
              <w:br/>
            </w:r>
            <w:r>
              <w:rPr>
                <w:sz w:val="20"/>
                <w:szCs w:val="20"/>
              </w:rPr>
              <w:t>«Цифровизация услуг и формирование информационного пространства в сфере культуры («Цифровая культура») (Свердловская область)»</w:t>
            </w:r>
            <w:r>
              <w:rPr/>
              <w:br/>
            </w:r>
            <w:r>
              <w:rPr>
                <w:sz w:val="20"/>
                <w:szCs w:val="20"/>
              </w:rPr>
              <w:t>на территории муниципального образования</w:t>
            </w:r>
            <w:r>
              <w:rPr/>
              <w:br/>
            </w:r>
            <w:r>
              <w:rPr>
                <w:sz w:val="20"/>
                <w:szCs w:val="20"/>
              </w:rPr>
              <w:t>«Камышловский городской округ»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02.09.2021 год № 46/08-2021 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4.1.1.7.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4.1.1.8.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4.1.1.9.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экземпляров новых поступлений в фонды муниципальных библиотек Камышловского городского округа в расчете на 1000 человек жителей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4.1.1.10.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4.1.1.11.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фильмов российского производства в общем объеме кинопоказа на территории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4.1.1.12.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Доля клубных  формирований оздоровительной и санитарно-просветительской направленности в общем количестве клубных формирований, действующих на базе учреждений культуры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Правительства Свердловской области от 24.12.2020 года №999-ПП «Об утверждении комплексной программы Свердловской области на 2021-2024 годы «Общественное здоровье уральцев»» (далее ППСО от 24.12.2020 года №999-ПП)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4.1.1.13.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4.1.2. обеспечение условий для развития инновационной деятельности муниципальных учреждений культуры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муниципальных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4.1.2.3.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Выполнение целевых показателей результативности реализации Плана по информатизации муниципальных библиотек Камышловского городского округа на 2020-2024 годы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Постановление администрации Камышловского городского округа от 27.08.2020г № 571 «Об утверждении -мероприятий по информатизации муниципальных музеев и библиотек, расположенных на территории Камышловского городского округа, </w:t>
            </w:r>
            <w:r>
              <w:rPr/>
              <w:br/>
            </w:r>
            <w:r>
              <w:rPr>
                <w:sz w:val="20"/>
                <w:szCs w:val="20"/>
              </w:rPr>
              <w:t>на 2020–2024 годы» (далее ПАКГО от 27.08.2020г № 571)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4.1.2.4.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Выполнение целевых показателей  результативности реализации Плана по информатизации муниципальных музеев Камышловского городского округа на 2020-2024 годы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ПА КГО от 27.08.2020 г. №571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4.1.3. создание условий для сохранения и развития кадрового и творческого потенциала сферы культуры</w:t>
            </w:r>
          </w:p>
        </w:tc>
      </w:tr>
      <w:tr>
        <w:trPr>
          <w:trHeight w:val="61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Соглашение о достижении результатов и показателей муниципального компонента регионального проекта </w:t>
            </w:r>
            <w:r>
              <w:rPr/>
              <w:br/>
            </w:r>
            <w:r>
              <w:rPr>
                <w:sz w:val="20"/>
                <w:szCs w:val="20"/>
              </w:rPr>
              <w:t>«Создание условий для реализации творческого потенциала нации («Творческие люди») (Свердловская область)»</w:t>
            </w:r>
            <w:r>
              <w:rPr/>
              <w:br/>
            </w:r>
            <w:r>
              <w:rPr>
                <w:sz w:val="20"/>
                <w:szCs w:val="20"/>
              </w:rPr>
              <w:t>на территории муниципального образования</w:t>
            </w:r>
            <w:r>
              <w:rPr/>
              <w:br/>
            </w:r>
            <w:r>
              <w:rPr>
                <w:sz w:val="20"/>
                <w:szCs w:val="20"/>
              </w:rPr>
              <w:t>«Камышловский городской округ»</w:t>
            </w:r>
            <w:r>
              <w:rPr/>
              <w:br/>
            </w:r>
            <w:r>
              <w:rPr>
                <w:sz w:val="20"/>
                <w:szCs w:val="20"/>
              </w:rPr>
              <w:t>31.08.2021 год № 739/12-2020 (далее Соглашение от 31.08.2021 год № 739/12-2020)</w:t>
            </w:r>
          </w:p>
        </w:tc>
      </w:tr>
      <w:tr>
        <w:trPr>
          <w:trHeight w:val="61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4.1.3.2.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волонтеров в сфере культуры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Соглашение о достижении результатов и показателей муниципального компонента регионального проекта </w:t>
            </w:r>
            <w:r>
              <w:rPr/>
              <w:br/>
            </w:r>
            <w:r>
              <w:rPr>
                <w:sz w:val="20"/>
                <w:szCs w:val="20"/>
              </w:rPr>
              <w:t>«Создание условий для реализации творческого потенциала нации («Творческие люди») (Свердловская область)»</w:t>
            </w:r>
            <w:r>
              <w:rPr/>
              <w:br/>
            </w:r>
            <w:r>
              <w:rPr>
                <w:sz w:val="20"/>
                <w:szCs w:val="20"/>
              </w:rPr>
              <w:t>на территории муниципального образования</w:t>
            </w:r>
            <w:r>
              <w:rPr/>
              <w:br/>
            </w:r>
            <w:r>
              <w:rPr>
                <w:sz w:val="20"/>
                <w:szCs w:val="20"/>
              </w:rPr>
              <w:t>«Камышловский городской округ»</w:t>
            </w:r>
            <w:r>
              <w:rPr/>
              <w:br/>
            </w:r>
            <w:r>
              <w:rPr>
                <w:sz w:val="20"/>
                <w:szCs w:val="20"/>
              </w:rPr>
              <w:t>31.08.2021 год № 739/12-2020 (далее Соглашение от 31.08.2021 год № 739/12-2020)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4.1.3.3.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 СО от 21 октября 2013 г. № 1268-ПП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4.1.4. Реализация проектов, направленных на повышение привлекательности территории и продвижение имиджа Камышлова</w:t>
            </w:r>
          </w:p>
        </w:tc>
      </w:tr>
      <w:tr>
        <w:trPr>
          <w:trHeight w:val="10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проектов, направленных на повышение привлекательности территории и продвижение имиджа Камышлова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0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4.1.4.2.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получателей грантов за счёт субсидий из разных источников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Национальный проект "Культура" федеральный проект "Культурная среда"</w:t>
            </w:r>
          </w:p>
        </w:tc>
      </w:tr>
      <w:tr>
        <w:trPr>
          <w:trHeight w:val="12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4.1.4.3.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7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4.1.4.4.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Посещаемость населением организаций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посещений на 1000 человек населения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510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4.1.4.5.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тысяча посещений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256,06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281,66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306,23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351,59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438,56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483,93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529,30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Соглашение о достижении результатов и показателей муниципального компонента регионального проекта </w:t>
            </w:r>
            <w:r>
              <w:rPr/>
              <w:br/>
            </w:r>
            <w:r>
              <w:rPr>
                <w:sz w:val="20"/>
                <w:szCs w:val="20"/>
              </w:rPr>
              <w:t>«Обеспечение качественно нового уровня развития инфраструктуры культуры («Культурная среда») на территории муниципального образования</w:t>
            </w:r>
            <w:r>
              <w:rPr/>
              <w:br/>
            </w:r>
            <w:r>
              <w:rPr>
                <w:sz w:val="20"/>
                <w:szCs w:val="20"/>
              </w:rPr>
              <w:t>«Камышловский городской округ»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07.09.2021 года № 621/08-2021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Развитие образования в сфере культуры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5.1. "Создание условий для раннего выявления художественно одаренных детей и молодежи, и их успешной реализации"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5.1.1. формирование и развитие эффективной системы поддержки творчески одаренных детей и молодежи</w:t>
            </w:r>
          </w:p>
        </w:tc>
      </w:tr>
      <w:tr>
        <w:trPr>
          <w:trHeight w:val="586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главы Камышловского городского округа от 17.09.2013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№ 1683 «О внесении изменений в План мероприятий («дорожной карты») «Изменения в отраслях социальной сферы, направленные на повышение эффективности сферы культуры в Камышловском городском округе», утвержденный постановлением главы Камышловского городского округа от 29.07.2013 г. </w:t>
            </w:r>
            <w:r>
              <w:rPr/>
              <w:br/>
            </w:r>
            <w:r>
              <w:rPr>
                <w:sz w:val="20"/>
                <w:szCs w:val="20"/>
              </w:rPr>
              <w:t>№ 1372»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02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лауреатов международных, региональных, областных, городских конкурсов и фестивалей в сфере культуры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ППСО от 21 октября 2013 г.№1268-ПП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5.1.1.4.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выпускников детских школ искусств, поступивших на обучение в профессиональные образовательные организации в сфере культуры и искусства, от общего числа выпускников предыдущего года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 СО от 21 октября 2013 г. № 1268-ПП</w:t>
            </w:r>
          </w:p>
        </w:tc>
      </w:tr>
      <w:tr>
        <w:trPr>
          <w:trHeight w:val="331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5.1.1.5.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образовательных организаций в сфере культуры и искусства ( с учетом детских школ искусств), оснащенных современным материально-техническим,учебным оборудованием, в том числе музыкальными инструментами, в общем количестве образовательных организаций в сфере культуры в соответствующем финансовом году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ПП СО от 21 октября 2013 г. № 1268-ПП</w:t>
            </w:r>
          </w:p>
        </w:tc>
      </w:tr>
      <w:tr>
        <w:trPr>
          <w:trHeight w:val="5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5.1.1.6.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Число посещений культурных мероприятий, проводимых ДШИ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тысяча посещений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2,03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4,06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4,47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РМКРФ ОТ 16.10.2020 № Р-1358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Развитие физической культуры и спорта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6.1. Создание условий для развития физической культуры и спорта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 xml:space="preserve">Задача 6.1.1. "Поэтапное внедрение Всероссийского физкультурно-спортивного комплекса "Готов к труду и обороне" (ГТО) на территории Камышловского городского округа" 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населения Камышловского городского округа, выполнивших нормативы испытаний (тестов) ВФСК "ГТО", в общей численности населения, принявшего участие в выполнении нормативов испытаний (тестов) ВФСК "ГТО"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6.1.2.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спортивных площадок, оснащенных специализированным оборудованием для занятий уличной гимнастикой (нарастающим итогом)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6.1.2.3.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граждан среднего возраста (женщины в возрасте 30-54 года,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6.1.2.4.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6.1.2.5.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населения Камышловского городского округа, систематически занимающегося физической культурой и спортом, в общей численности населения Камышловского городского округа в возрасте 3-79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6.2. создание условий для развития детско-юношеского спорта, подготовки спортивного резерва сборных команд Камышловского городского округа, Свердловской области и Российской Федерации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6.2.1.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Камышловском городском округе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6.2.1.1.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лиц, занимающихся по программам спортивной подготовки в муниципальных организациях, оказывающих услуги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6.2.1.2.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муниципальных организаций, оказывающих услуги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"Развитие физической культуры и спорта в Свердловской области до 2024 года" утвержденная постановлением Правительства Свердловской области от 29.10.2013 №1332-ПП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6.3. создание условий, обеспечивающих доступность к спортивной инфраструктуре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6.3.1.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>
        <w:trPr>
          <w:trHeight w:val="255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6.3.1.1.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Уровень обеспеченности  населения спортивными сооружениями исходя из единовременной пропускной способности объектов спорта 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Государственная программа "Развитие физической культуры и спорта в Свердловской области до 2024 года", утвержденная Постановлением Правительства Свердловской области от 29.10.2013 №1332-ПП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7. Организация отдыха и оздоровления детей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7.1. создание условий для сохранения здоровья и развития детей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7.1.1. совершенствование форм организации отдыха и оздоровления детей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7.1.1.1.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детей школьного возраста, получивших услуги по отдыху и оздоровлению в загородных оздоровительных лагерях в каникулярное время, от общей численности детей школьного возраста, охваченных отдыхом и оздоровлением в каникулярное время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7.1.1.2.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оздоровленных детей (за исключением детей- сирот и детей, оставшихся без попечения родителей, детей, находящихся в трудной жизненной ситуации) в учебное время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Закон Свердловской области от 28.05.2018 N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отдыха и оздоровления детей»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8. Развитие молодежной политики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8.1.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8.1.1. развитие и поддержка созидательной активности, вовлечение молодежи в общественно-политическую жизнь, формирование культуры здорового образа жизни в молодежной среде</w:t>
            </w:r>
          </w:p>
        </w:tc>
      </w:tr>
      <w:tr>
        <w:trPr>
          <w:trHeight w:val="331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8.1.1.1.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Стратегия социально-экономического развития Свердловской области, утвержденная Постановлением Правительства Свердловской области 27.08.2008 г. №873-ПП «О стратегии социально-экономического развития Свердловской области на период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9. Патриотическое воспитание граждан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9.1. Комплексное развитие и совершенствование системы патриотического воспитания граждан на территории Камышловского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гражданскую позицию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9.1.1. развитие инфраструктуры муниципальных организаций для организации патриотического воспитания граждан на территории Камышловского городского округа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9.1.1.1.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муниципальных учреждений, осуществляющих патриотическое воспитание граждан на территории Камышловского городского округа, улучшивших материально-техническую базу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15.07.2013               № 1226-р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9.1.2. модернизация содержания и форм патриотического воспитания как условие вовлечения широких масс граждан в Камышловском городском округе в мероприятия историко-патриотической, героико-патриотической, военно-патриотической направленности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9.1.2.1.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муниципальных образовательных организаций, реализующих программы патриотической направленности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15.07.2013               № 1226-р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9.1.3. пропаганда культурного многообразия, этнокультурных ценностей и толерантных отношений в средствах массовой информации в Камышловском городском округе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9.1.3.1.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граждан, принявших участие в патриотических мероприятиях, направленных на формирование общероссийской гражданской идентичности, единства российской нации, содействие межкультурному и межконфессиональному диалогу, к общему количеству населения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15.07.2013               № 1226-р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9.1.4.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9.1.4. формирование у детей навыков безопасного поведения на улицах и дорогах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9.1.4.1.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10. Профилактика асоциальных явлений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10.1. создание условий, способствующих профилактике асоциальных явлений на территории Камышловского городского округа.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10.1.1. создание систем профилактики, направленных на активизацию борьбы с деструктивными явлениями на территории Камышловского городского округа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Снижение количества преступлений, совершенных в состоянии алкогольного опьянения до уровня минимальной опасности для общества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главы Камышловского городского округа от 06.12.2010 года  № 2378 «Об утверждении плана мероприятий по выполнению муниципальной целевой программы «Профилактика правонарушений и алкоголизма на территории Камышловского городского округа»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Снижение количества преступлений совершенных в общественных местах, в том числе на улицах, до уровня минимальной опасности для общества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главы Камышловского городского округа от 06.12.2010 года  № 2378 «Об утверждении плана мероприятий по выполнению муниципальной целевой программы «Профилактика правонарушений и алкоголизма на территории Камышловского городского округа»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10.1.2. проведение профилактических мероприятий по сокращению незаконного оборота и потребления наркотиков, основанных на формирование антинаркотической культуры граждан</w:t>
            </w:r>
          </w:p>
        </w:tc>
      </w:tr>
      <w:tr>
        <w:trPr>
          <w:trHeight w:val="433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обучающихся 9-11 классов прошедших социально психологическое тестирование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Методические рекомендации по организации деятельности антинаркотических комиссий в муниципальных образованиях расположенных на территории Свердловской области утверждены протоколом антинаркотической комиссии Свердловской области от 31.03.2020 №1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10.1.3. обеспечение условий, способствующих снижению в Камышловском городском округе распространения ВИЧ-инфекции, ВИЧ/СПИД.</w:t>
            </w:r>
          </w:p>
        </w:tc>
      </w:tr>
      <w:tr>
        <w:trPr>
          <w:trHeight w:val="56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Увеличение доли граждан из «группы риска», охваченных диспансерным наблюдением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</w:t>
            </w:r>
            <w:r>
              <w:rPr/>
              <w:br/>
            </w:r>
            <w:r>
              <w:rPr>
                <w:sz w:val="20"/>
                <w:szCs w:val="20"/>
              </w:rPr>
              <w:t>от 30.03.1995 г. №38-ФЗ «О предупреждении</w:t>
            </w:r>
            <w:r>
              <w:rPr/>
              <w:br/>
            </w:r>
            <w:r>
              <w:rPr>
                <w:sz w:val="20"/>
                <w:szCs w:val="20"/>
              </w:rPr>
              <w:t>распространения</w:t>
            </w:r>
            <w:r>
              <w:rPr/>
              <w:br/>
            </w:r>
            <w:r>
              <w:rPr>
                <w:sz w:val="20"/>
                <w:szCs w:val="20"/>
              </w:rPr>
              <w:t>в Российской Федерации заболевания вызываемого ВИЧ-инфекцией»,</w:t>
            </w:r>
            <w:r>
              <w:rPr/>
              <w:br/>
            </w:r>
            <w:r>
              <w:rPr>
                <w:sz w:val="20"/>
                <w:szCs w:val="20"/>
              </w:rPr>
              <w:t>постановление главы Камышловского городского округа от 02.11.2011 года  № 1907 «Об утверждении Муниципальной целевой программы «О мерах по ограничению распространения ВИЧ-инфекции на территории Камышловского городского округа»</w:t>
            </w:r>
          </w:p>
        </w:tc>
      </w:tr>
      <w:tr>
        <w:trPr>
          <w:trHeight w:val="561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10.1.3.2.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Увеличение удельного веса граждан «группы риска», охваченных лечением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</w:t>
            </w:r>
            <w:r>
              <w:rPr/>
              <w:br/>
            </w:r>
            <w:r>
              <w:rPr>
                <w:sz w:val="20"/>
                <w:szCs w:val="20"/>
              </w:rPr>
              <w:t>от 30.03.1995 г. №38-ФЗ «О предупреждении</w:t>
            </w:r>
            <w:r>
              <w:rPr/>
              <w:br/>
            </w:r>
            <w:r>
              <w:rPr>
                <w:sz w:val="20"/>
                <w:szCs w:val="20"/>
              </w:rPr>
              <w:t>распространения</w:t>
            </w:r>
            <w:r>
              <w:rPr/>
              <w:br/>
            </w:r>
            <w:r>
              <w:rPr>
                <w:sz w:val="20"/>
                <w:szCs w:val="20"/>
              </w:rPr>
              <w:t>в Российской Федерации заболевания вызываемого ВИЧ-инфекцией»,</w:t>
            </w:r>
            <w:r>
              <w:rPr/>
              <w:br/>
            </w:r>
            <w:r>
              <w:rPr>
                <w:sz w:val="20"/>
                <w:szCs w:val="20"/>
              </w:rPr>
              <w:t>постановление главы Камышловского городского округа от 02.11.2011 года  № 1907 «Об утверждении Муниципальной целевой программы «О мерах по ограничению распространения ВИЧ-инфекции на территории Камышловского городского округа»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11.1. 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образования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11.1.1. поддержка и укрепление здоровья, предупреждение заболеваний работников образовательных организаций Камышловского городского округа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Охват работников образовательных организаций Камышловского городского округа мероприятиями по укреплению здоровья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11.1.2.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11.1.3. организация выплаты единовременного пособия молодым специалистам на обзаведение хозяйством</w:t>
            </w:r>
          </w:p>
        </w:tc>
      </w:tr>
      <w:tr>
        <w:trPr>
          <w:trHeight w:val="178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молодых специалистов, получивших единовременное пособие на обзаведение хозяйством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11.1.4.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11.1.4.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>
        <w:trPr>
          <w:trHeight w:val="229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11.1.4.1.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реализованных мероприятий по обеспечению деятельности муниципальных образовательных организаций, подведомственных Комитету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11.2. руководство и управление в сфере установленных функций в области образования, культуры, физической культуры, спорта и молодежной политики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11.2.1.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11.2.1. обеспечение исполнения полномочий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11.2.1.1.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целевых показателей муниципальной программы "Развитие образования, культуры, спорта и молодежной политики в Камышловском городском округе до 2027 года", значения которых достигли или превысили запланированные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280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11.2.1.2.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проведенных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 от числа запланированных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331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11.2.1.3.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устраненных нарушений в общем числе нарушений, выявленных в ходе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Закон Свердловской области </w:t>
            </w:r>
            <w:r>
              <w:rPr/>
              <w:br/>
            </w:r>
            <w:r>
              <w:rPr>
                <w:sz w:val="20"/>
                <w:szCs w:val="20"/>
              </w:rPr>
              <w:t xml:space="preserve">от 15 июля 2013 года № 78-ОЗ </w:t>
            </w:r>
            <w:r>
              <w:rPr/>
              <w:br/>
            </w:r>
            <w:r>
              <w:rPr>
                <w:sz w:val="20"/>
                <w:szCs w:val="20"/>
              </w:rPr>
              <w:t>«Об образовании в Свердловской области»</w:t>
            </w:r>
          </w:p>
        </w:tc>
      </w:tr>
      <w:tr>
        <w:trPr>
          <w:trHeight w:val="637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11.2.1.4.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образовательных организациях, в текущем году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12.10.2017 г. №724-ПП "О внесении изменений в постановление Правительства свердловской области от 13,04.2017 г. №240-ПП " 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11.2.2.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11.2.2. Создание условий для реализации Стратегии государственной культурной политики на период до 2030 года, утвержденной распоряжением Правительства РФ от 29.02.2016 №326-р</w:t>
            </w:r>
          </w:p>
        </w:tc>
      </w:tr>
      <w:tr>
        <w:trPr>
          <w:trHeight w:val="204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11.2.2.1.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 xml:space="preserve">Доля расходов на культуру в общем объеме бюджетных ассигнований муниципального образования 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Распоряжение Правительства РФ от 29.02.2016 N 326-р</w:t>
            </w:r>
            <w:r>
              <w:rPr/>
              <w:br/>
            </w:r>
            <w:r>
              <w:rPr>
                <w:sz w:val="20"/>
                <w:szCs w:val="20"/>
              </w:rPr>
              <w:t>«Об утверждении Стратегии государственной культурной политики на период до 2030 года»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11.3. проведение комплексного психолого- медико- педагогического обследования (далее- обследование) для своевременного выявления детей с особенностями в физическом и (или) психическом развитии и подготовки по результатам обследования рекомендаций по оказанию им психолого- медико- педагогической помощи и организации их обучения и воспитания, а также подтверждение, уточнение или изменение ранее данных рекомендаций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11.3.1.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11.3.1. проведение обследования детей в возрасте от 0 до 18 лет, обучающихся и воспитанников образовательных организаций Камышловского городского округа</w:t>
            </w:r>
          </w:p>
        </w:tc>
      </w:tr>
      <w:tr>
        <w:trPr>
          <w:trHeight w:val="153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11.3.1.1.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проведенных обследований детей в возрасте от 0 до 18 лет, обучающихся и воспитанников образовательных организаций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закон  29 декабря     2012 года   № 273-ФЗ «Об образовании в Российской Федерации»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12. Развитие инженерной школы в Камышловском городском округе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12.1. обеспечение условий для подготовки рабочих и инженерных кадров в масштабах и с качеством, удовлетворяющим текущие и перспективные потребности экономики,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12.1.1.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12.1.1. создание условий, обеспечивющих возможность реализации права граждан на неприрывное образование по инженерно- техническим специальностям</w:t>
            </w:r>
          </w:p>
        </w:tc>
      </w:tr>
      <w:tr>
        <w:trPr>
          <w:trHeight w:val="459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12.1.1.1.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обучающихся- участников форм взаимодействия образовательных организаций по созданию и совместному использованию материально- технических, кадровых, учебно- методических ресурсов для совместной реализации образовательных программ, содержащих модули, направленные на развитие познавательных особенностей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12.1.1.2.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модернезированных кабинетов естественно- научного цикла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12.1.1.3.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Количество образовательных организаций, реализующих программы дополнительного образования технической и естественно- научной направленности на условиях сетевого взаимодействия с государственным автономным нетиповым образовательным учреждением "Дворец молодежи"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12.1.2.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12.1.2. создание условий для реализации образовательных программ по наиболее востребованным и перспективным профессиям и специальностям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12.1.2.1.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соотвествии с целями и задачами проекта "Уральская инженерная школа"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12.1.3.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12.1.3. модернизация материально- технической, учебно- методической базы муниципальных образовательных организаций Свердловской области, осуществляющих реализацию программ цифрового, естественно- научного и гуманитарного профилей</w:t>
            </w:r>
          </w:p>
        </w:tc>
      </w:tr>
      <w:tr>
        <w:trPr>
          <w:trHeight w:val="3570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12.1.3.1.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года", утвержденная Постановлением Правительства Свердловской области от 19.12.2019 №920-ПП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Цель 13.1. Исключение проявлений экстремистской деятельности на территории Камышловского городского округа, формирование уважения к разнообразию мировых культур, цивилизаций и народов, готовности к взаимопониманию и сотрудничеству с людьми разных национальностей, вероисповедений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13.1.1.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13.1.1. Координация деятельности органов местного самоуправления Камышловского городского округа, всех субъектов профилактики, направленной на предупреждение экстремизма и формирование толерантного сознания на территории Камышловского городского округа, прежде всего в молодежной среде</w:t>
            </w:r>
          </w:p>
        </w:tc>
      </w:tr>
      <w:tr>
        <w:trPr>
          <w:trHeight w:val="382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13.1.1.1.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Доля выполненных в полном объеме решений Консультативного совета по взаимодействию с национальными и религиозными общественными объединениями на территории Камышловского городского округа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Постановление главы Камышловского городского округа от 25.06.2009 №988 «О создании Консультативного совета по взаимодействию с национальными и религиозными общественными объединениями на территории Камышловского городского округа»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13.1.1.2.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Организация повышения квалификации работников муниципальных учреждений, муниципальных служащих по вопросам гармонизации межнациональных отношений, поддержания межэтнического мира, профилактики экстремизма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Приказ Комитета по образованию, культуре, спорту и делам молодежи администрации Камышловского городского округа от 22.12.2015 г. №352 "Об утверждении плана мероприятий по противодействию экстремизма и обеспечения гармонизации межнациональных и этноконфессиональных отношений на территории Камышловском городском округе на 2016 год"</w:t>
            </w:r>
          </w:p>
        </w:tc>
      </w:tr>
      <w:tr>
        <w:trPr>
          <w:trHeight w:val="2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13.1.2.</w:t>
            </w:r>
          </w:p>
        </w:tc>
        <w:tc>
          <w:tcPr>
            <w:tcW w:w="14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Задача 13.1.2. Мониторинг политических, социально-экономических и иных процессов, оказывающих влияние на ситуацию в городском округе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13.1.2.1.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Наличие мониторинга межнациональных отношений в Камышловском городском округе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Приказ Комитета по образованию, культуре, спорту и делам молодежи администрации Камышловского городского округа от 22.12.2015 г. №352 "Об утверждении плана мероприятий по противодействию экстремизма и обеспечения гармонизации межнациональных и этноконфессиональных отношений на территории Камышловском городском округе на 2016 год"</w:t>
            </w:r>
          </w:p>
        </w:tc>
      </w:tr>
      <w:tr>
        <w:trPr>
          <w:trHeight w:val="5355" w:hRule="atLeast"/>
          <w:cantSplit w:val="true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sz w:val="20"/>
                <w:szCs w:val="20"/>
              </w:rPr>
              <w:t>13.1.2.2.</w:t>
            </w:r>
          </w:p>
        </w:tc>
        <w:tc>
          <w:tcPr>
            <w:tcW w:w="2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Наличие мониторинга в сфере противодействия экстремизму в общеобразовательных учреждениях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Приказ Комитета по образованию, культуре, спорту и делам молодежи администрации Камышловского городского округа от 22.12.2015 г. №352 "Об утверждении плана мероприятий по противодействию экстремизма и обеспечения гармонизации межнациональных и этноконфессиональных отношений на территории Камышловском городском округе на 2016 год"</w:t>
            </w:r>
          </w:p>
        </w:tc>
      </w:tr>
    </w:tbl>
    <w:p>
      <w:pPr>
        <w:pStyle w:val="Normal"/>
        <w:bidi w:val="0"/>
        <w:spacing w:before="0" w:after="0"/>
        <w:ind w:left="0" w:right="0" w:hanging="0"/>
        <w:contextualSpacing/>
        <w:rPr/>
      </w:pPr>
      <w:r>
        <w:rPr/>
      </w:r>
    </w:p>
    <w:sectPr>
      <w:type w:val="nextPage"/>
      <w:pgSz w:orient="landscape" w:w="16838" w:h="11906"/>
      <w:pgMar w:left="1134" w:right="850" w:header="0" w:top="1134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contextualSpacing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Посещённая гиперссылка"/>
    <w:basedOn w:val="DefaultParagraphFont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  <w:contextualSpacing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  <w:contextualSpacing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  <w:contextualSpacing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ru-RU" w:eastAsia="en-US" w:bidi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center"/>
      <w:textAlignment w:val="top"/>
    </w:pPr>
    <w:rPr>
      <w:sz w:val="24"/>
      <w:szCs w:val="24"/>
      <w:lang w:eastAsia="ru-RU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right"/>
      <w:textAlignment w:val="top"/>
    </w:pPr>
    <w:rPr>
      <w:sz w:val="24"/>
      <w:szCs w:val="24"/>
      <w:lang w:eastAsia="ru-RU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0">
    <w:name w:val="xl70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auto" w:line="240" w:beforeAutospacing="1" w:afterAutospacing="1"/>
      <w:contextualSpacing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right"/>
      <w:textAlignment w:val="top"/>
    </w:pPr>
    <w:rPr>
      <w:sz w:val="24"/>
      <w:szCs w:val="24"/>
      <w:lang w:eastAsia="ru-RU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</w:pBdr>
      <w:shd w:fill="FFFFFF"/>
      <w:spacing w:lineRule="auto" w:line="240" w:beforeAutospacing="1" w:afterAutospacing="1"/>
      <w:contextualSpacing/>
    </w:pPr>
    <w:rPr>
      <w:b/>
      <w:bCs/>
      <w:color w:val="000000"/>
      <w:sz w:val="24"/>
      <w:szCs w:val="24"/>
      <w:lang w:eastAsia="ru-RU"/>
    </w:rPr>
  </w:style>
  <w:style w:type="paragraph" w:styleId="Xl76">
    <w:name w:val="xl76"/>
    <w:basedOn w:val="Normal"/>
    <w:qFormat/>
    <w:pPr>
      <w:pBdr>
        <w:top w:val="single" w:sz="4" w:space="0" w:color="000000"/>
      </w:pBdr>
      <w:shd w:fill="FFFFFF"/>
      <w:spacing w:lineRule="auto" w:line="240" w:beforeAutospacing="1" w:afterAutospacing="1"/>
      <w:contextualSpacing/>
    </w:pPr>
    <w:rPr>
      <w:b/>
      <w:bCs/>
      <w:color w:val="000000"/>
      <w:sz w:val="24"/>
      <w:szCs w:val="24"/>
      <w:lang w:eastAsia="ru-RU"/>
    </w:rPr>
  </w:style>
  <w:style w:type="paragraph" w:styleId="Xl77">
    <w:name w:val="xl77"/>
    <w:basedOn w:val="Normal"/>
    <w:qFormat/>
    <w:pPr>
      <w:pBdr>
        <w:top w:val="single" w:sz="4" w:space="0" w:color="000000"/>
        <w:right w:val="single" w:sz="4" w:space="0" w:color="000000"/>
      </w:pBdr>
      <w:shd w:fill="FFFFFF"/>
      <w:spacing w:lineRule="auto" w:line="240" w:beforeAutospacing="1" w:afterAutospacing="1"/>
      <w:contextualSpacing/>
    </w:pPr>
    <w:rPr>
      <w:b/>
      <w:bCs/>
      <w:color w:val="000000"/>
      <w:sz w:val="24"/>
      <w:szCs w:val="24"/>
      <w:lang w:eastAsia="ru-RU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auto" w:line="240" w:beforeAutospacing="1" w:afterAutospacing="1"/>
      <w:contextualSpacing/>
    </w:pPr>
    <w:rPr>
      <w:color w:val="000000"/>
      <w:sz w:val="24"/>
      <w:szCs w:val="24"/>
      <w:lang w:eastAsia="ru-RU"/>
    </w:rPr>
  </w:style>
  <w:style w:type="paragraph" w:styleId="Xl79">
    <w:name w:val="xl79"/>
    <w:basedOn w:val="Normal"/>
    <w:qFormat/>
    <w:pPr>
      <w:pBdr>
        <w:top w:val="single" w:sz="4" w:space="0" w:color="000000"/>
        <w:bottom w:val="single" w:sz="4" w:space="0" w:color="000000"/>
      </w:pBdr>
      <w:shd w:fill="FFFFFF"/>
      <w:spacing w:lineRule="auto" w:line="240" w:beforeAutospacing="1" w:afterAutospacing="1"/>
      <w:contextualSpacing/>
    </w:pPr>
    <w:rPr>
      <w:color w:val="000000"/>
      <w:sz w:val="24"/>
      <w:szCs w:val="24"/>
      <w:lang w:eastAsia="ru-RU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/>
      <w:spacing w:lineRule="auto" w:line="240" w:beforeAutospacing="1" w:afterAutospacing="1"/>
      <w:contextualSpacing/>
    </w:pPr>
    <w:rPr>
      <w:color w:val="000000"/>
      <w:sz w:val="24"/>
      <w:szCs w:val="24"/>
      <w:lang w:eastAsia="ru-RU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auto" w:line="240" w:beforeAutospacing="1" w:afterAutospacing="1"/>
      <w:contextualSpacing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Xl82">
    <w:name w:val="xl8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83">
    <w:name w:val="xl8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right"/>
      <w:textAlignment w:val="top"/>
    </w:pPr>
    <w:rPr>
      <w:sz w:val="24"/>
      <w:szCs w:val="24"/>
      <w:lang w:eastAsia="ru-RU"/>
    </w:rPr>
  </w:style>
  <w:style w:type="paragraph" w:styleId="Xl84">
    <w:name w:val="xl84"/>
    <w:basedOn w:val="Normal"/>
    <w:qFormat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contextualSpacing/>
      <w:textAlignment w:val="top"/>
    </w:pPr>
    <w:rPr>
      <w:sz w:val="24"/>
      <w:szCs w:val="24"/>
      <w:lang w:eastAsia="ru-RU"/>
    </w:rPr>
  </w:style>
  <w:style w:type="paragraph" w:styleId="Xl85">
    <w:name w:val="xl85"/>
    <w:basedOn w:val="Normal"/>
    <w:qFormat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contextualSpacing/>
      <w:jc w:val="right"/>
      <w:textAlignment w:val="top"/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11</Pages>
  <Words>6820</Words>
  <Characters>49502</Characters>
  <CharactersWithSpaces>55142</CharactersWithSpaces>
  <Paragraphs>1446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2021-12-28T16:59:00Z</dcterms:created>
  <dc:creator>Пользователь Windows</dc:creator>
  <dc:description/>
  <dc:language>ru-RU</dc:language>
  <cp:lastModifiedBy/>
  <dcterms:modified xsi:type="dcterms:W3CDTF">2021-12-28T17:01:00Z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Пользователь Windows</vt:lpwstr>
  </property>
</Properties>
</file>